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80" w:type="dxa"/>
        <w:tblLayout w:type="fixed"/>
        <w:tblCellMar>
          <w:left w:w="80" w:type="dxa"/>
          <w:right w:w="80" w:type="dxa"/>
        </w:tblCellMar>
        <w:tblLook w:val="0000" w:firstRow="0" w:lastRow="0" w:firstColumn="0" w:lastColumn="0" w:noHBand="0" w:noVBand="0"/>
      </w:tblPr>
      <w:tblGrid>
        <w:gridCol w:w="9639"/>
      </w:tblGrid>
      <w:tr w:rsidR="00562E21" w14:paraId="13A97F87" w14:textId="77777777" w:rsidTr="007D09F5">
        <w:trPr>
          <w:cantSplit/>
          <w:trHeight w:hRule="exact" w:val="2000"/>
        </w:trPr>
        <w:tc>
          <w:tcPr>
            <w:tcW w:w="9639" w:type="dxa"/>
          </w:tcPr>
          <w:p w14:paraId="4A470C01" w14:textId="77777777" w:rsidR="00562E21" w:rsidRDefault="00562E21" w:rsidP="007D09F5">
            <w:pPr>
              <w:spacing w:before="100"/>
              <w:ind w:left="100" w:right="60"/>
              <w:jc w:val="center"/>
              <w:rPr>
                <w:rFonts w:ascii="Helvetica" w:hAnsi="Helvetica"/>
              </w:rPr>
            </w:pPr>
            <w:r w:rsidRPr="00A45DA3">
              <w:rPr>
                <w:rFonts w:ascii="Helvetica" w:hAnsi="Helvetica"/>
                <w:noProof/>
              </w:rPr>
              <w:drawing>
                <wp:inline distT="0" distB="0" distL="0" distR="0" wp14:anchorId="158089FC" wp14:editId="7F3A4144">
                  <wp:extent cx="885600" cy="828000"/>
                  <wp:effectExtent l="0" t="0" r="0"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232" r="36594" b="28958"/>
                          <a:stretch/>
                        </pic:blipFill>
                        <pic:spPr bwMode="auto">
                          <a:xfrm>
                            <a:off x="0" y="0"/>
                            <a:ext cx="885600"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2A470E2" w14:textId="77777777" w:rsidR="00562E21" w:rsidRDefault="00562E21" w:rsidP="007D09F5">
            <w:pPr>
              <w:ind w:left="80" w:right="60"/>
              <w:jc w:val="center"/>
              <w:rPr>
                <w:rFonts w:ascii="Formata Light" w:hAnsi="Formata Light"/>
              </w:rPr>
            </w:pPr>
          </w:p>
          <w:p w14:paraId="198B64DF" w14:textId="77777777" w:rsidR="00562E21" w:rsidRDefault="00562E21" w:rsidP="007D09F5">
            <w:pPr>
              <w:ind w:left="100" w:right="60"/>
              <w:jc w:val="center"/>
              <w:rPr>
                <w:rFonts w:ascii="Formata Light" w:hAnsi="Formata Light"/>
              </w:rPr>
            </w:pPr>
            <w:r>
              <w:rPr>
                <w:rFonts w:ascii="Formata Light" w:hAnsi="Formata Light"/>
                <w:spacing w:val="20"/>
                <w:sz w:val="22"/>
              </w:rPr>
              <w:t>VILLE DE BOULOGNE</w:t>
            </w:r>
            <w:r>
              <w:rPr>
                <w:rFonts w:ascii="Formata Light" w:hAnsi="Formata Light"/>
                <w:sz w:val="22"/>
              </w:rPr>
              <w:t>-</w:t>
            </w:r>
            <w:r>
              <w:rPr>
                <w:rFonts w:ascii="Formata Light" w:hAnsi="Formata Light"/>
                <w:spacing w:val="20"/>
                <w:sz w:val="22"/>
              </w:rPr>
              <w:t>BILLANCOURT</w:t>
            </w:r>
          </w:p>
        </w:tc>
      </w:tr>
    </w:tbl>
    <w:p w14:paraId="688E2094" w14:textId="77777777" w:rsidR="00562E21" w:rsidRDefault="00562E21" w:rsidP="00562E21"/>
    <w:p w14:paraId="2F84B2FF" w14:textId="77777777" w:rsidR="00562E21" w:rsidRDefault="00562E21" w:rsidP="00562E21"/>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0"/>
        <w:gridCol w:w="7209"/>
      </w:tblGrid>
      <w:tr w:rsidR="00562E21" w:rsidRPr="00A41D1F" w14:paraId="03706155" w14:textId="77777777" w:rsidTr="007D09F5">
        <w:trPr>
          <w:cantSplit/>
        </w:trPr>
        <w:tc>
          <w:tcPr>
            <w:tcW w:w="2430" w:type="dxa"/>
            <w:tcBorders>
              <w:top w:val="single" w:sz="4" w:space="0" w:color="auto"/>
              <w:left w:val="single" w:sz="4" w:space="0" w:color="auto"/>
              <w:bottom w:val="single" w:sz="4" w:space="0" w:color="auto"/>
              <w:right w:val="single" w:sz="4" w:space="0" w:color="auto"/>
            </w:tcBorders>
            <w:vAlign w:val="center"/>
          </w:tcPr>
          <w:p w14:paraId="10D3A353" w14:textId="77777777" w:rsidR="00562E21" w:rsidRPr="00A41D1F" w:rsidRDefault="00562E21" w:rsidP="007D09F5">
            <w:pPr>
              <w:rPr>
                <w:b/>
                <w:smallCaps/>
              </w:rPr>
            </w:pPr>
            <w:r w:rsidRPr="00A41D1F">
              <w:rPr>
                <w:b/>
                <w:smallCaps/>
              </w:rPr>
              <w:t xml:space="preserve">procédure </w:t>
            </w:r>
          </w:p>
        </w:tc>
        <w:tc>
          <w:tcPr>
            <w:tcW w:w="7209" w:type="dxa"/>
            <w:tcBorders>
              <w:top w:val="single" w:sz="4" w:space="0" w:color="auto"/>
              <w:left w:val="single" w:sz="4" w:space="0" w:color="auto"/>
              <w:bottom w:val="single" w:sz="4" w:space="0" w:color="auto"/>
              <w:right w:val="single" w:sz="4" w:space="0" w:color="auto"/>
            </w:tcBorders>
            <w:vAlign w:val="center"/>
          </w:tcPr>
          <w:p w14:paraId="222D73F5" w14:textId="77777777" w:rsidR="00562E21" w:rsidRDefault="008A2096" w:rsidP="007D09F5">
            <w:pPr>
              <w:rPr>
                <w:b/>
                <w:smallCaps/>
              </w:rPr>
            </w:pPr>
            <w:r w:rsidRPr="004349B6">
              <w:rPr>
                <w:b/>
                <w:smallCaps/>
              </w:rPr>
              <w:t>convention pour occupation du domaine public</w:t>
            </w:r>
          </w:p>
          <w:p w14:paraId="44C63873" w14:textId="77777777" w:rsidR="00562E21" w:rsidRPr="00B46238" w:rsidRDefault="00562E21" w:rsidP="007D09F5">
            <w:pPr>
              <w:rPr>
                <w:b/>
                <w:smallCaps/>
              </w:rPr>
            </w:pPr>
            <w:r>
              <w:rPr>
                <w:b/>
                <w:smallCaps/>
              </w:rPr>
              <w:t>article</w:t>
            </w:r>
            <w:r w:rsidR="008A2096">
              <w:rPr>
                <w:b/>
                <w:smallCaps/>
              </w:rPr>
              <w:t>s</w:t>
            </w:r>
            <w:r>
              <w:rPr>
                <w:b/>
                <w:smallCaps/>
              </w:rPr>
              <w:t xml:space="preserve"> </w:t>
            </w:r>
            <w:r w:rsidR="008A2096">
              <w:rPr>
                <w:b/>
                <w:smallCaps/>
              </w:rPr>
              <w:t>L2122-1-1 et suivants du code général de la propriété des personnes publiques</w:t>
            </w:r>
          </w:p>
        </w:tc>
      </w:tr>
    </w:tbl>
    <w:p w14:paraId="0952AD49" w14:textId="77777777" w:rsidR="00562E21" w:rsidRPr="00A41D1F" w:rsidRDefault="00562E21" w:rsidP="00562E21"/>
    <w:p w14:paraId="43CE6DDC" w14:textId="77777777" w:rsidR="00562E21" w:rsidRDefault="00562E21" w:rsidP="00562E21"/>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562E21" w:rsidRPr="008252AD" w14:paraId="5CA90358" w14:textId="77777777" w:rsidTr="007D09F5">
        <w:trPr>
          <w:cantSplit/>
          <w:jc w:val="center"/>
        </w:trPr>
        <w:tc>
          <w:tcPr>
            <w:tcW w:w="9638" w:type="dxa"/>
            <w:vAlign w:val="center"/>
          </w:tcPr>
          <w:p w14:paraId="6AD55089" w14:textId="49844A8D" w:rsidR="009E0FAB" w:rsidRDefault="00D86811" w:rsidP="009E0FAB">
            <w:pPr>
              <w:jc w:val="center"/>
              <w:rPr>
                <w:b/>
                <w:smallCaps/>
                <w:sz w:val="48"/>
                <w:szCs w:val="52"/>
              </w:rPr>
            </w:pPr>
            <w:r w:rsidRPr="00D86811">
              <w:rPr>
                <w:b/>
                <w:smallCaps/>
                <w:sz w:val="48"/>
                <w:szCs w:val="52"/>
              </w:rPr>
              <w:t xml:space="preserve">MISE EN PLACE ET EXPLOITATION </w:t>
            </w:r>
            <w:r w:rsidR="00135193">
              <w:rPr>
                <w:b/>
                <w:smallCaps/>
                <w:sz w:val="48"/>
                <w:szCs w:val="52"/>
              </w:rPr>
              <w:t>DU MARCHE DES PRODUCTEURS</w:t>
            </w:r>
            <w:r w:rsidR="00116D89">
              <w:rPr>
                <w:b/>
                <w:smallCaps/>
                <w:sz w:val="48"/>
                <w:szCs w:val="52"/>
              </w:rPr>
              <w:t xml:space="preserve"> </w:t>
            </w:r>
          </w:p>
          <w:p w14:paraId="5AD29B9F" w14:textId="092C78C4" w:rsidR="00135193" w:rsidRPr="008252AD" w:rsidRDefault="007F6E91" w:rsidP="009E0FAB">
            <w:pPr>
              <w:jc w:val="center"/>
              <w:rPr>
                <w:b/>
                <w:smallCaps/>
                <w:sz w:val="48"/>
                <w:szCs w:val="52"/>
              </w:rPr>
            </w:pPr>
            <w:r>
              <w:rPr>
                <w:b/>
                <w:smallCaps/>
                <w:sz w:val="48"/>
                <w:szCs w:val="52"/>
              </w:rPr>
              <w:t>du 0</w:t>
            </w:r>
            <w:r w:rsidR="003F7126">
              <w:rPr>
                <w:b/>
                <w:smallCaps/>
                <w:sz w:val="48"/>
                <w:szCs w:val="52"/>
              </w:rPr>
              <w:t>6</w:t>
            </w:r>
            <w:r w:rsidR="00926958">
              <w:rPr>
                <w:b/>
                <w:smallCaps/>
                <w:sz w:val="48"/>
                <w:szCs w:val="52"/>
              </w:rPr>
              <w:t xml:space="preserve"> au 0</w:t>
            </w:r>
            <w:r w:rsidR="003F7126">
              <w:rPr>
                <w:b/>
                <w:smallCaps/>
                <w:sz w:val="48"/>
                <w:szCs w:val="52"/>
              </w:rPr>
              <w:t>8</w:t>
            </w:r>
            <w:r w:rsidR="00135193">
              <w:rPr>
                <w:b/>
                <w:smallCaps/>
                <w:sz w:val="48"/>
                <w:szCs w:val="52"/>
              </w:rPr>
              <w:t xml:space="preserve"> octobre </w:t>
            </w:r>
            <w:r w:rsidR="00926958">
              <w:rPr>
                <w:b/>
                <w:smallCaps/>
                <w:sz w:val="48"/>
                <w:szCs w:val="52"/>
              </w:rPr>
              <w:t>202</w:t>
            </w:r>
            <w:r w:rsidR="003F7126">
              <w:rPr>
                <w:b/>
                <w:smallCaps/>
                <w:sz w:val="48"/>
                <w:szCs w:val="52"/>
              </w:rPr>
              <w:t>3</w:t>
            </w:r>
          </w:p>
        </w:tc>
      </w:tr>
      <w:tr w:rsidR="00562E21" w:rsidRPr="001F36C0" w14:paraId="16A7CDF3" w14:textId="77777777" w:rsidTr="007D09F5">
        <w:trPr>
          <w:cantSplit/>
          <w:jc w:val="center"/>
        </w:trPr>
        <w:tc>
          <w:tcPr>
            <w:tcW w:w="9638" w:type="dxa"/>
            <w:vAlign w:val="center"/>
          </w:tcPr>
          <w:p w14:paraId="5AF225FA" w14:textId="3285A063" w:rsidR="00562E21" w:rsidRPr="00A96D50" w:rsidRDefault="00562E21" w:rsidP="00926958">
            <w:pPr>
              <w:jc w:val="center"/>
              <w:rPr>
                <w:b/>
                <w:smallCaps/>
                <w:color w:val="FF0000"/>
                <w:sz w:val="48"/>
                <w:szCs w:val="52"/>
              </w:rPr>
            </w:pPr>
            <w:r w:rsidRPr="001F36C0">
              <w:rPr>
                <w:b/>
                <w:smallCaps/>
                <w:sz w:val="48"/>
                <w:szCs w:val="52"/>
              </w:rPr>
              <w:t xml:space="preserve">n° </w:t>
            </w:r>
            <w:r w:rsidR="00D86811">
              <w:rPr>
                <w:b/>
                <w:smallCaps/>
                <w:sz w:val="48"/>
                <w:szCs w:val="52"/>
              </w:rPr>
              <w:t>de procédure</w:t>
            </w:r>
            <w:r w:rsidR="00687547">
              <w:rPr>
                <w:b/>
                <w:smallCaps/>
                <w:sz w:val="48"/>
                <w:szCs w:val="52"/>
              </w:rPr>
              <w:t xml:space="preserve"> :</w:t>
            </w:r>
            <w:r w:rsidR="006D7F6F">
              <w:rPr>
                <w:b/>
                <w:smallCaps/>
                <w:sz w:val="48"/>
                <w:szCs w:val="52"/>
              </w:rPr>
              <w:t xml:space="preserve"> </w:t>
            </w:r>
            <w:r w:rsidR="00A96D50">
              <w:rPr>
                <w:b/>
                <w:smallCaps/>
                <w:sz w:val="48"/>
                <w:szCs w:val="52"/>
              </w:rPr>
              <w:t xml:space="preserve"> </w:t>
            </w:r>
            <w:r w:rsidR="00E8616A">
              <w:rPr>
                <w:b/>
                <w:smallCaps/>
                <w:sz w:val="48"/>
                <w:szCs w:val="52"/>
              </w:rPr>
              <w:t>23032</w:t>
            </w:r>
          </w:p>
        </w:tc>
      </w:tr>
    </w:tbl>
    <w:p w14:paraId="3E94ACDB" w14:textId="77777777" w:rsidR="00562E21" w:rsidRPr="00674ABB" w:rsidRDefault="00562E21" w:rsidP="00562E21"/>
    <w:p w14:paraId="68B835A2" w14:textId="77777777" w:rsidR="00562E21" w:rsidRDefault="00562E21" w:rsidP="00562E21"/>
    <w:p w14:paraId="3EDE6130" w14:textId="1137B582" w:rsidR="00562E21" w:rsidRDefault="00D86811" w:rsidP="00562E21">
      <w:pPr>
        <w:spacing w:before="800" w:after="800"/>
        <w:jc w:val="center"/>
        <w:rPr>
          <w:b/>
          <w:caps/>
          <w:sz w:val="52"/>
        </w:rPr>
      </w:pPr>
      <w:r w:rsidRPr="00D86811">
        <w:rPr>
          <w:b/>
          <w:caps/>
          <w:sz w:val="52"/>
        </w:rPr>
        <w:t xml:space="preserve">convention </w:t>
      </w:r>
      <w:r w:rsidR="005B6E56">
        <w:rPr>
          <w:b/>
          <w:caps/>
          <w:sz w:val="52"/>
        </w:rPr>
        <w:t>d'</w:t>
      </w:r>
      <w:r w:rsidRPr="00D86811">
        <w:rPr>
          <w:b/>
          <w:caps/>
          <w:sz w:val="52"/>
        </w:rPr>
        <w:t>occupation du domaine public</w:t>
      </w:r>
    </w:p>
    <w:p w14:paraId="74433731" w14:textId="77777777" w:rsidR="00562E21" w:rsidRDefault="00562E21" w:rsidP="00562E21"/>
    <w:p w14:paraId="51A93AF3" w14:textId="1D78F0C5" w:rsidR="00562E21" w:rsidRDefault="00562E21" w:rsidP="00562E21">
      <w:pPr>
        <w:rPr>
          <w:sz w:val="18"/>
        </w:rPr>
      </w:pPr>
      <w:r>
        <w:rPr>
          <w:sz w:val="18"/>
        </w:rPr>
        <w:t xml:space="preserve">Édité le </w:t>
      </w:r>
      <w:r>
        <w:rPr>
          <w:sz w:val="18"/>
        </w:rPr>
        <w:fldChar w:fldCharType="begin"/>
      </w:r>
      <w:r>
        <w:rPr>
          <w:sz w:val="18"/>
        </w:rPr>
        <w:instrText xml:space="preserve"> TIME \@ "d MMMM yyyy" </w:instrText>
      </w:r>
      <w:r>
        <w:rPr>
          <w:sz w:val="18"/>
        </w:rPr>
        <w:fldChar w:fldCharType="separate"/>
      </w:r>
      <w:r w:rsidR="001878D9">
        <w:rPr>
          <w:noProof/>
          <w:sz w:val="18"/>
        </w:rPr>
        <w:t>26 juillet 2023</w:t>
      </w:r>
      <w:r>
        <w:rPr>
          <w:sz w:val="18"/>
        </w:rPr>
        <w:fldChar w:fldCharType="end"/>
      </w:r>
    </w:p>
    <w:p w14:paraId="644768B2" w14:textId="77777777" w:rsidR="00562E21" w:rsidRDefault="00562E21" w:rsidP="00562E21"/>
    <w:p w14:paraId="22886E80" w14:textId="77777777" w:rsidR="00562E21" w:rsidRDefault="00562E21" w:rsidP="00562E21">
      <w:r>
        <w:br w:type="page"/>
      </w:r>
    </w:p>
    <w:p w14:paraId="43A5F3DD" w14:textId="77777777" w:rsidR="0093325E" w:rsidRDefault="0093325E" w:rsidP="001707A9">
      <w:pPr>
        <w:pStyle w:val="texte1"/>
        <w:jc w:val="center"/>
        <w:rPr>
          <w:b/>
          <w:sz w:val="26"/>
        </w:rPr>
      </w:pPr>
      <w:bookmarkStart w:id="0" w:name="_Toc478634961"/>
    </w:p>
    <w:p w14:paraId="6703E550" w14:textId="47E552CA" w:rsidR="00051E4B" w:rsidRDefault="001707A9" w:rsidP="001707A9">
      <w:pPr>
        <w:pStyle w:val="texte1"/>
        <w:jc w:val="center"/>
        <w:rPr>
          <w:b/>
          <w:sz w:val="26"/>
        </w:rPr>
      </w:pPr>
      <w:r w:rsidRPr="001707A9">
        <w:rPr>
          <w:b/>
          <w:sz w:val="26"/>
        </w:rPr>
        <w:t>SOMMAIRE</w:t>
      </w:r>
    </w:p>
    <w:p w14:paraId="1B810C7A" w14:textId="77777777" w:rsidR="001707A9" w:rsidRDefault="001707A9" w:rsidP="001707A9">
      <w:pPr>
        <w:pStyle w:val="texte1"/>
        <w:jc w:val="center"/>
        <w:rPr>
          <w:b/>
          <w:sz w:val="26"/>
        </w:rPr>
      </w:pPr>
    </w:p>
    <w:p w14:paraId="40C852B4" w14:textId="77777777" w:rsidR="001707A9" w:rsidRPr="001707A9" w:rsidRDefault="001707A9" w:rsidP="001707A9">
      <w:pPr>
        <w:pStyle w:val="texte1"/>
        <w:jc w:val="center"/>
        <w:rPr>
          <w:b/>
          <w:sz w:val="26"/>
        </w:rPr>
      </w:pPr>
    </w:p>
    <w:p w14:paraId="64DA379B" w14:textId="19E6E1B3" w:rsidR="00D83BA6" w:rsidRDefault="001707A9">
      <w:pPr>
        <w:pStyle w:val="TM1"/>
        <w:rPr>
          <w:rFonts w:asciiTheme="minorHAnsi" w:eastAsiaTheme="minorEastAsia" w:hAnsiTheme="minorHAnsi" w:cstheme="minorBidi"/>
          <w:b w:val="0"/>
          <w:caps w:val="0"/>
          <w:sz w:val="22"/>
          <w:szCs w:val="22"/>
        </w:rPr>
      </w:pPr>
      <w:r>
        <w:fldChar w:fldCharType="begin"/>
      </w:r>
      <w:r>
        <w:instrText xml:space="preserve"> TOC \o "1-3" \u </w:instrText>
      </w:r>
      <w:r>
        <w:fldChar w:fldCharType="separate"/>
      </w:r>
      <w:r w:rsidR="00D83BA6" w:rsidRPr="00BC0DB0">
        <w:rPr>
          <w:caps w:val="0"/>
          <w:color w:val="000000"/>
          <w14:scene3d>
            <w14:camera w14:prst="orthographicFront"/>
            <w14:lightRig w14:rig="threePt" w14:dir="t">
              <w14:rot w14:lat="0" w14:lon="0" w14:rev="0"/>
            </w14:lightRig>
          </w14:scene3d>
        </w:rPr>
        <w:t>ARTICLE 1</w:t>
      </w:r>
      <w:r w:rsidR="00D83BA6">
        <w:rPr>
          <w:rFonts w:asciiTheme="minorHAnsi" w:eastAsiaTheme="minorEastAsia" w:hAnsiTheme="minorHAnsi" w:cstheme="minorBidi"/>
          <w:b w:val="0"/>
          <w:caps w:val="0"/>
          <w:sz w:val="22"/>
          <w:szCs w:val="22"/>
        </w:rPr>
        <w:tab/>
      </w:r>
      <w:r w:rsidR="00D83BA6">
        <w:t>contractants</w:t>
      </w:r>
      <w:r w:rsidR="00D83BA6">
        <w:tab/>
      </w:r>
      <w:r w:rsidR="00D83BA6">
        <w:fldChar w:fldCharType="begin"/>
      </w:r>
      <w:r w:rsidR="00D83BA6">
        <w:instrText xml:space="preserve"> PAGEREF _Toc33627550 \h </w:instrText>
      </w:r>
      <w:r w:rsidR="00D83BA6">
        <w:fldChar w:fldCharType="separate"/>
      </w:r>
      <w:r w:rsidR="00D83BA6">
        <w:t>3</w:t>
      </w:r>
      <w:r w:rsidR="00D83BA6">
        <w:fldChar w:fldCharType="end"/>
      </w:r>
    </w:p>
    <w:p w14:paraId="22941F56" w14:textId="509A2298"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2</w:t>
      </w:r>
      <w:r>
        <w:rPr>
          <w:rFonts w:asciiTheme="minorHAnsi" w:eastAsiaTheme="minorEastAsia" w:hAnsiTheme="minorHAnsi" w:cstheme="minorBidi"/>
          <w:b w:val="0"/>
          <w:caps w:val="0"/>
          <w:sz w:val="22"/>
          <w:szCs w:val="22"/>
        </w:rPr>
        <w:tab/>
      </w:r>
      <w:r>
        <w:t>CONTEXTE</w:t>
      </w:r>
      <w:r>
        <w:tab/>
      </w:r>
      <w:r>
        <w:fldChar w:fldCharType="begin"/>
      </w:r>
      <w:r>
        <w:instrText xml:space="preserve"> PAGEREF _Toc33627551 \h </w:instrText>
      </w:r>
      <w:r>
        <w:fldChar w:fldCharType="separate"/>
      </w:r>
      <w:r>
        <w:t>3</w:t>
      </w:r>
      <w:r>
        <w:fldChar w:fldCharType="end"/>
      </w:r>
    </w:p>
    <w:p w14:paraId="2782DA8B" w14:textId="04718DB3"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3</w:t>
      </w:r>
      <w:r>
        <w:rPr>
          <w:rFonts w:asciiTheme="minorHAnsi" w:eastAsiaTheme="minorEastAsia" w:hAnsiTheme="minorHAnsi" w:cstheme="minorBidi"/>
          <w:b w:val="0"/>
          <w:caps w:val="0"/>
          <w:sz w:val="22"/>
          <w:szCs w:val="22"/>
        </w:rPr>
        <w:tab/>
      </w:r>
      <w:r>
        <w:t>OBJET</w:t>
      </w:r>
      <w:r>
        <w:tab/>
      </w:r>
      <w:r>
        <w:fldChar w:fldCharType="begin"/>
      </w:r>
      <w:r>
        <w:instrText xml:space="preserve"> PAGEREF _Toc33627552 \h </w:instrText>
      </w:r>
      <w:r>
        <w:fldChar w:fldCharType="separate"/>
      </w:r>
      <w:r>
        <w:t>3</w:t>
      </w:r>
      <w:r>
        <w:fldChar w:fldCharType="end"/>
      </w:r>
    </w:p>
    <w:p w14:paraId="6206D817" w14:textId="4A82BC45"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4</w:t>
      </w:r>
      <w:r>
        <w:rPr>
          <w:rFonts w:asciiTheme="minorHAnsi" w:eastAsiaTheme="minorEastAsia" w:hAnsiTheme="minorHAnsi" w:cstheme="minorBidi"/>
          <w:b w:val="0"/>
          <w:caps w:val="0"/>
          <w:sz w:val="22"/>
          <w:szCs w:val="22"/>
        </w:rPr>
        <w:tab/>
      </w:r>
      <w:r>
        <w:t>CONDITIONS GÉNÉRALES D’OCCUPATION DU DOMAINE PUBLIC</w:t>
      </w:r>
      <w:r>
        <w:tab/>
      </w:r>
      <w:r>
        <w:fldChar w:fldCharType="begin"/>
      </w:r>
      <w:r>
        <w:instrText xml:space="preserve"> PAGEREF _Toc33627553 \h </w:instrText>
      </w:r>
      <w:r>
        <w:fldChar w:fldCharType="separate"/>
      </w:r>
      <w:r>
        <w:t>3</w:t>
      </w:r>
      <w:r>
        <w:fldChar w:fldCharType="end"/>
      </w:r>
    </w:p>
    <w:p w14:paraId="3B9CE324" w14:textId="5EA8B886"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5</w:t>
      </w:r>
      <w:r>
        <w:rPr>
          <w:rFonts w:asciiTheme="minorHAnsi" w:eastAsiaTheme="minorEastAsia" w:hAnsiTheme="minorHAnsi" w:cstheme="minorBidi"/>
          <w:b w:val="0"/>
          <w:caps w:val="0"/>
          <w:sz w:val="22"/>
          <w:szCs w:val="22"/>
        </w:rPr>
        <w:tab/>
      </w:r>
      <w:r>
        <w:t>Forme des notifications et informations qui font courir un délai</w:t>
      </w:r>
      <w:r>
        <w:tab/>
      </w:r>
      <w:r>
        <w:fldChar w:fldCharType="begin"/>
      </w:r>
      <w:r>
        <w:instrText xml:space="preserve"> PAGEREF _Toc33627554 \h </w:instrText>
      </w:r>
      <w:r>
        <w:fldChar w:fldCharType="separate"/>
      </w:r>
      <w:r>
        <w:t>4</w:t>
      </w:r>
      <w:r>
        <w:fldChar w:fldCharType="end"/>
      </w:r>
    </w:p>
    <w:p w14:paraId="0CC2AE6E" w14:textId="0B0926C2"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6</w:t>
      </w:r>
      <w:r>
        <w:rPr>
          <w:rFonts w:asciiTheme="minorHAnsi" w:eastAsiaTheme="minorEastAsia" w:hAnsiTheme="minorHAnsi" w:cstheme="minorBidi"/>
          <w:b w:val="0"/>
          <w:caps w:val="0"/>
          <w:sz w:val="22"/>
          <w:szCs w:val="22"/>
        </w:rPr>
        <w:tab/>
      </w:r>
      <w:r>
        <w:t>CONTENU DE LA PRESTATION</w:t>
      </w:r>
      <w:r>
        <w:tab/>
      </w:r>
      <w:r>
        <w:fldChar w:fldCharType="begin"/>
      </w:r>
      <w:r>
        <w:instrText xml:space="preserve"> PAGEREF _Toc33627555 \h </w:instrText>
      </w:r>
      <w:r>
        <w:fldChar w:fldCharType="separate"/>
      </w:r>
      <w:r>
        <w:t>4</w:t>
      </w:r>
      <w:r>
        <w:fldChar w:fldCharType="end"/>
      </w:r>
    </w:p>
    <w:p w14:paraId="23AA56FA" w14:textId="7CF272AD" w:rsidR="00D83BA6" w:rsidRDefault="00D83BA6">
      <w:pPr>
        <w:pStyle w:val="TM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Prestations demandées au bénéficiaire</w:t>
      </w:r>
      <w:r>
        <w:tab/>
      </w:r>
      <w:r>
        <w:fldChar w:fldCharType="begin"/>
      </w:r>
      <w:r>
        <w:instrText xml:space="preserve"> PAGEREF _Toc33627556 \h </w:instrText>
      </w:r>
      <w:r>
        <w:fldChar w:fldCharType="separate"/>
      </w:r>
      <w:r>
        <w:t>4</w:t>
      </w:r>
      <w:r>
        <w:fldChar w:fldCharType="end"/>
      </w:r>
    </w:p>
    <w:p w14:paraId="58D78451" w14:textId="1B330FF5" w:rsidR="00D83BA6" w:rsidRDefault="00D83BA6">
      <w:pPr>
        <w:pStyle w:val="TM3"/>
        <w:rPr>
          <w:rFonts w:asciiTheme="minorHAnsi" w:eastAsiaTheme="minorEastAsia" w:hAnsiTheme="minorHAnsi" w:cstheme="minorBidi"/>
          <w:sz w:val="22"/>
          <w:szCs w:val="22"/>
        </w:rPr>
      </w:pPr>
      <w:r w:rsidRPr="00BC0DB0">
        <w:rPr>
          <w:color w:val="000000"/>
          <w14:scene3d>
            <w14:camera w14:prst="orthographicFront"/>
            <w14:lightRig w14:rig="threePt" w14:dir="t">
              <w14:rot w14:lat="0" w14:lon="0" w14:rev="0"/>
            </w14:lightRig>
          </w14:scene3d>
        </w:rPr>
        <w:t>6.1.1</w:t>
      </w:r>
      <w:r>
        <w:rPr>
          <w:rFonts w:asciiTheme="minorHAnsi" w:eastAsiaTheme="minorEastAsia" w:hAnsiTheme="minorHAnsi" w:cstheme="minorBidi"/>
          <w:sz w:val="22"/>
          <w:szCs w:val="22"/>
        </w:rPr>
        <w:tab/>
      </w:r>
      <w:r>
        <w:t>Les fourniture et installation des tentes et aspects techniques :</w:t>
      </w:r>
      <w:r>
        <w:tab/>
      </w:r>
      <w:r>
        <w:fldChar w:fldCharType="begin"/>
      </w:r>
      <w:r>
        <w:instrText xml:space="preserve"> PAGEREF _Toc33627557 \h </w:instrText>
      </w:r>
      <w:r>
        <w:fldChar w:fldCharType="separate"/>
      </w:r>
      <w:r>
        <w:t>4</w:t>
      </w:r>
      <w:r>
        <w:fldChar w:fldCharType="end"/>
      </w:r>
    </w:p>
    <w:p w14:paraId="5EFC0CE9" w14:textId="7B77A8F1" w:rsidR="00D83BA6" w:rsidRPr="000C7029" w:rsidRDefault="00D83BA6">
      <w:pPr>
        <w:pStyle w:val="TM3"/>
        <w:rPr>
          <w:rFonts w:asciiTheme="minorHAnsi" w:eastAsiaTheme="minorEastAsia" w:hAnsiTheme="minorHAnsi" w:cstheme="minorBidi"/>
          <w:sz w:val="22"/>
          <w:szCs w:val="22"/>
        </w:rPr>
      </w:pPr>
      <w:r w:rsidRPr="00BC0DB0">
        <w:rPr>
          <w:color w:val="000000"/>
          <w14:scene3d>
            <w14:camera w14:prst="orthographicFront"/>
            <w14:lightRig w14:rig="threePt" w14:dir="t">
              <w14:rot w14:lat="0" w14:lon="0" w14:rev="0"/>
            </w14:lightRig>
          </w14:scene3d>
        </w:rPr>
        <w:t>6.1.2</w:t>
      </w:r>
      <w:r>
        <w:rPr>
          <w:rFonts w:asciiTheme="minorHAnsi" w:eastAsiaTheme="minorEastAsia" w:hAnsiTheme="minorHAnsi" w:cstheme="minorBidi"/>
          <w:sz w:val="22"/>
          <w:szCs w:val="22"/>
        </w:rPr>
        <w:tab/>
      </w:r>
      <w:r w:rsidRPr="000C7029">
        <w:t>La commercialisation des stands exposants :</w:t>
      </w:r>
      <w:r w:rsidRPr="000C7029">
        <w:tab/>
      </w:r>
      <w:r w:rsidRPr="000C7029">
        <w:fldChar w:fldCharType="begin"/>
      </w:r>
      <w:r w:rsidRPr="000C7029">
        <w:instrText xml:space="preserve"> PAGEREF _Toc33627558 \h </w:instrText>
      </w:r>
      <w:r w:rsidRPr="000C7029">
        <w:fldChar w:fldCharType="separate"/>
      </w:r>
      <w:r w:rsidRPr="000C7029">
        <w:t>4</w:t>
      </w:r>
      <w:r w:rsidRPr="000C7029">
        <w:fldChar w:fldCharType="end"/>
      </w:r>
    </w:p>
    <w:p w14:paraId="06883FA8" w14:textId="458A1EA5"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6.1.3</w:t>
      </w:r>
      <w:r w:rsidRPr="000C7029">
        <w:rPr>
          <w:rFonts w:asciiTheme="minorHAnsi" w:eastAsiaTheme="minorEastAsia" w:hAnsiTheme="minorHAnsi" w:cstheme="minorBidi"/>
          <w:sz w:val="22"/>
          <w:szCs w:val="22"/>
        </w:rPr>
        <w:tab/>
      </w:r>
      <w:r w:rsidRPr="000C7029">
        <w:t>Seront autorisés à la vente :</w:t>
      </w:r>
      <w:r w:rsidRPr="000C7029">
        <w:tab/>
      </w:r>
      <w:r w:rsidRPr="000C7029">
        <w:fldChar w:fldCharType="begin"/>
      </w:r>
      <w:r w:rsidRPr="000C7029">
        <w:instrText xml:space="preserve"> PAGEREF _Toc33627559 \h </w:instrText>
      </w:r>
      <w:r w:rsidRPr="000C7029">
        <w:fldChar w:fldCharType="separate"/>
      </w:r>
      <w:r w:rsidRPr="000C7029">
        <w:t>4</w:t>
      </w:r>
      <w:r w:rsidRPr="000C7029">
        <w:fldChar w:fldCharType="end"/>
      </w:r>
    </w:p>
    <w:p w14:paraId="33FED0EC" w14:textId="356F1FBE"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6.1.4</w:t>
      </w:r>
      <w:r w:rsidRPr="000C7029">
        <w:rPr>
          <w:rFonts w:asciiTheme="minorHAnsi" w:eastAsiaTheme="minorEastAsia" w:hAnsiTheme="minorHAnsi" w:cstheme="minorBidi"/>
          <w:sz w:val="22"/>
          <w:szCs w:val="22"/>
        </w:rPr>
        <w:tab/>
      </w:r>
      <w:r w:rsidRPr="000C7029">
        <w:t>La gestion de l’événement :</w:t>
      </w:r>
      <w:r w:rsidRPr="000C7029">
        <w:tab/>
      </w:r>
      <w:r w:rsidRPr="000C7029">
        <w:fldChar w:fldCharType="begin"/>
      </w:r>
      <w:r w:rsidRPr="000C7029">
        <w:instrText xml:space="preserve"> PAGEREF _Toc33627560 \h </w:instrText>
      </w:r>
      <w:r w:rsidRPr="000C7029">
        <w:fldChar w:fldCharType="separate"/>
      </w:r>
      <w:r w:rsidRPr="000C7029">
        <w:t>5</w:t>
      </w:r>
      <w:r w:rsidRPr="000C7029">
        <w:fldChar w:fldCharType="end"/>
      </w:r>
    </w:p>
    <w:p w14:paraId="51A1ACC0" w14:textId="4B3BBD76"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6.1.5</w:t>
      </w:r>
      <w:r w:rsidRPr="000C7029">
        <w:rPr>
          <w:rFonts w:asciiTheme="minorHAnsi" w:eastAsiaTheme="minorEastAsia" w:hAnsiTheme="minorHAnsi" w:cstheme="minorBidi"/>
          <w:sz w:val="22"/>
          <w:szCs w:val="22"/>
        </w:rPr>
        <w:tab/>
      </w:r>
      <w:r w:rsidRPr="000C7029">
        <w:t>Les animations</w:t>
      </w:r>
      <w:r w:rsidRPr="000C7029">
        <w:tab/>
      </w:r>
      <w:r w:rsidRPr="000C7029">
        <w:fldChar w:fldCharType="begin"/>
      </w:r>
      <w:r w:rsidRPr="000C7029">
        <w:instrText xml:space="preserve"> PAGEREF _Toc33627561 \h </w:instrText>
      </w:r>
      <w:r w:rsidRPr="000C7029">
        <w:fldChar w:fldCharType="separate"/>
      </w:r>
      <w:r w:rsidRPr="000C7029">
        <w:t>5</w:t>
      </w:r>
      <w:r w:rsidRPr="000C7029">
        <w:fldChar w:fldCharType="end"/>
      </w:r>
    </w:p>
    <w:p w14:paraId="426D125F" w14:textId="6D1B1DAD"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6.1.6</w:t>
      </w:r>
      <w:r w:rsidRPr="000C7029">
        <w:rPr>
          <w:rFonts w:asciiTheme="minorHAnsi" w:eastAsiaTheme="minorEastAsia" w:hAnsiTheme="minorHAnsi" w:cstheme="minorBidi"/>
          <w:sz w:val="22"/>
          <w:szCs w:val="22"/>
        </w:rPr>
        <w:tab/>
      </w:r>
      <w:r w:rsidRPr="000C7029">
        <w:t>Le budget</w:t>
      </w:r>
      <w:r w:rsidRPr="000C7029">
        <w:tab/>
      </w:r>
      <w:r w:rsidRPr="000C7029">
        <w:fldChar w:fldCharType="begin"/>
      </w:r>
      <w:r w:rsidRPr="000C7029">
        <w:instrText xml:space="preserve"> PAGEREF _Toc33627562 \h </w:instrText>
      </w:r>
      <w:r w:rsidRPr="000C7029">
        <w:fldChar w:fldCharType="separate"/>
      </w:r>
      <w:r w:rsidRPr="000C7029">
        <w:t>5</w:t>
      </w:r>
      <w:r w:rsidRPr="000C7029">
        <w:fldChar w:fldCharType="end"/>
      </w:r>
    </w:p>
    <w:p w14:paraId="6D66B16F" w14:textId="705D7C78" w:rsidR="00D83BA6" w:rsidRPr="000C7029" w:rsidRDefault="00D83BA6">
      <w:pPr>
        <w:pStyle w:val="TM1"/>
        <w:rPr>
          <w:rFonts w:asciiTheme="minorHAnsi" w:eastAsiaTheme="minorEastAsia" w:hAnsiTheme="minorHAnsi" w:cstheme="minorBidi"/>
          <w:b w:val="0"/>
          <w:caps w:val="0"/>
          <w:sz w:val="22"/>
          <w:szCs w:val="22"/>
        </w:rPr>
      </w:pPr>
      <w:r w:rsidRPr="000C7029">
        <w:rPr>
          <w:caps w:val="0"/>
          <w14:scene3d>
            <w14:camera w14:prst="orthographicFront"/>
            <w14:lightRig w14:rig="threePt" w14:dir="t">
              <w14:rot w14:lat="0" w14:lon="0" w14:rev="0"/>
            </w14:lightRig>
          </w14:scene3d>
        </w:rPr>
        <w:t>ARTICLE 7</w:t>
      </w:r>
      <w:r w:rsidRPr="000C7029">
        <w:rPr>
          <w:rFonts w:asciiTheme="minorHAnsi" w:eastAsiaTheme="minorEastAsia" w:hAnsiTheme="minorHAnsi" w:cstheme="minorBidi"/>
          <w:b w:val="0"/>
          <w:caps w:val="0"/>
          <w:sz w:val="22"/>
          <w:szCs w:val="22"/>
        </w:rPr>
        <w:tab/>
      </w:r>
      <w:r w:rsidRPr="000C7029">
        <w:t>DURÉE - délais DE LA CONVENTION</w:t>
      </w:r>
      <w:r w:rsidRPr="000C7029">
        <w:tab/>
      </w:r>
      <w:r w:rsidRPr="000C7029">
        <w:fldChar w:fldCharType="begin"/>
      </w:r>
      <w:r w:rsidRPr="000C7029">
        <w:instrText xml:space="preserve"> PAGEREF _Toc33627563 \h </w:instrText>
      </w:r>
      <w:r w:rsidRPr="000C7029">
        <w:fldChar w:fldCharType="separate"/>
      </w:r>
      <w:r w:rsidRPr="000C7029">
        <w:t>5</w:t>
      </w:r>
      <w:r w:rsidRPr="000C7029">
        <w:fldChar w:fldCharType="end"/>
      </w:r>
    </w:p>
    <w:p w14:paraId="17B1D0E2" w14:textId="17B84AD3" w:rsidR="00D83BA6" w:rsidRPr="000C7029" w:rsidRDefault="00D83BA6">
      <w:pPr>
        <w:pStyle w:val="TM2"/>
        <w:rPr>
          <w:rFonts w:asciiTheme="minorHAnsi" w:eastAsiaTheme="minorEastAsia" w:hAnsiTheme="minorHAnsi" w:cstheme="minorBidi"/>
          <w:sz w:val="22"/>
          <w:szCs w:val="22"/>
        </w:rPr>
      </w:pPr>
      <w:r w:rsidRPr="000C7029">
        <w:t>7.1</w:t>
      </w:r>
      <w:r w:rsidRPr="000C7029">
        <w:rPr>
          <w:rFonts w:asciiTheme="minorHAnsi" w:eastAsiaTheme="minorEastAsia" w:hAnsiTheme="minorHAnsi" w:cstheme="minorBidi"/>
          <w:sz w:val="22"/>
          <w:szCs w:val="22"/>
        </w:rPr>
        <w:tab/>
      </w:r>
      <w:r w:rsidRPr="000C7029">
        <w:t>Durée</w:t>
      </w:r>
      <w:r w:rsidRPr="000C7029">
        <w:tab/>
      </w:r>
      <w:r w:rsidRPr="000C7029">
        <w:fldChar w:fldCharType="begin"/>
      </w:r>
      <w:r w:rsidRPr="000C7029">
        <w:instrText xml:space="preserve"> PAGEREF _Toc33627564 \h </w:instrText>
      </w:r>
      <w:r w:rsidRPr="000C7029">
        <w:fldChar w:fldCharType="separate"/>
      </w:r>
      <w:r w:rsidRPr="000C7029">
        <w:t>5</w:t>
      </w:r>
      <w:r w:rsidRPr="000C7029">
        <w:fldChar w:fldCharType="end"/>
      </w:r>
    </w:p>
    <w:p w14:paraId="1BA734C3" w14:textId="5F1D714C" w:rsidR="00D83BA6" w:rsidRPr="000C7029" w:rsidRDefault="00D83BA6">
      <w:pPr>
        <w:pStyle w:val="TM2"/>
        <w:rPr>
          <w:rFonts w:asciiTheme="minorHAnsi" w:eastAsiaTheme="minorEastAsia" w:hAnsiTheme="minorHAnsi" w:cstheme="minorBidi"/>
          <w:sz w:val="22"/>
          <w:szCs w:val="22"/>
        </w:rPr>
      </w:pPr>
      <w:r w:rsidRPr="000C7029">
        <w:t>7.1</w:t>
      </w:r>
      <w:r w:rsidRPr="000C7029">
        <w:rPr>
          <w:rFonts w:asciiTheme="minorHAnsi" w:eastAsiaTheme="minorEastAsia" w:hAnsiTheme="minorHAnsi" w:cstheme="minorBidi"/>
          <w:sz w:val="22"/>
          <w:szCs w:val="22"/>
        </w:rPr>
        <w:tab/>
      </w:r>
      <w:r w:rsidRPr="000C7029">
        <w:t>Délais</w:t>
      </w:r>
      <w:r w:rsidRPr="000C7029">
        <w:tab/>
      </w:r>
      <w:r w:rsidRPr="000C7029">
        <w:fldChar w:fldCharType="begin"/>
      </w:r>
      <w:r w:rsidRPr="000C7029">
        <w:instrText xml:space="preserve"> PAGEREF _Toc33627565 \h </w:instrText>
      </w:r>
      <w:r w:rsidRPr="000C7029">
        <w:fldChar w:fldCharType="separate"/>
      </w:r>
      <w:r w:rsidRPr="000C7029">
        <w:t>5</w:t>
      </w:r>
      <w:r w:rsidRPr="000C7029">
        <w:fldChar w:fldCharType="end"/>
      </w:r>
    </w:p>
    <w:p w14:paraId="789FDB54" w14:textId="3F23DC83"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7.1.1</w:t>
      </w:r>
      <w:r w:rsidRPr="000C7029">
        <w:rPr>
          <w:rFonts w:asciiTheme="minorHAnsi" w:eastAsiaTheme="minorEastAsia" w:hAnsiTheme="minorHAnsi" w:cstheme="minorBidi"/>
          <w:sz w:val="22"/>
          <w:szCs w:val="22"/>
        </w:rPr>
        <w:tab/>
      </w:r>
      <w:r w:rsidRPr="000C7029">
        <w:t>Finalisation du projet</w:t>
      </w:r>
      <w:r w:rsidRPr="000C7029">
        <w:tab/>
      </w:r>
      <w:r w:rsidRPr="000C7029">
        <w:fldChar w:fldCharType="begin"/>
      </w:r>
      <w:r w:rsidRPr="000C7029">
        <w:instrText xml:space="preserve"> PAGEREF _Toc33627566 \h </w:instrText>
      </w:r>
      <w:r w:rsidRPr="000C7029">
        <w:fldChar w:fldCharType="separate"/>
      </w:r>
      <w:r w:rsidRPr="000C7029">
        <w:t>5</w:t>
      </w:r>
      <w:r w:rsidRPr="000C7029">
        <w:fldChar w:fldCharType="end"/>
      </w:r>
    </w:p>
    <w:p w14:paraId="27AE1217" w14:textId="6DBDA0EB"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7.1.2</w:t>
      </w:r>
      <w:r w:rsidRPr="000C7029">
        <w:rPr>
          <w:rFonts w:asciiTheme="minorHAnsi" w:eastAsiaTheme="minorEastAsia" w:hAnsiTheme="minorHAnsi" w:cstheme="minorBidi"/>
          <w:sz w:val="22"/>
          <w:szCs w:val="22"/>
        </w:rPr>
        <w:tab/>
      </w:r>
      <w:r w:rsidRPr="000C7029">
        <w:t>État des lieux</w:t>
      </w:r>
      <w:r w:rsidRPr="000C7029">
        <w:tab/>
      </w:r>
      <w:r w:rsidRPr="000C7029">
        <w:fldChar w:fldCharType="begin"/>
      </w:r>
      <w:r w:rsidRPr="000C7029">
        <w:instrText xml:space="preserve"> PAGEREF _Toc33627567 \h </w:instrText>
      </w:r>
      <w:r w:rsidRPr="000C7029">
        <w:fldChar w:fldCharType="separate"/>
      </w:r>
      <w:r w:rsidRPr="000C7029">
        <w:t>6</w:t>
      </w:r>
      <w:r w:rsidRPr="000C7029">
        <w:fldChar w:fldCharType="end"/>
      </w:r>
    </w:p>
    <w:p w14:paraId="5BF8B779" w14:textId="39BB31D4" w:rsidR="00D83BA6" w:rsidRPr="000C7029" w:rsidRDefault="00D83BA6">
      <w:pPr>
        <w:pStyle w:val="TM3"/>
        <w:rPr>
          <w:rFonts w:asciiTheme="minorHAnsi" w:eastAsiaTheme="minorEastAsia" w:hAnsiTheme="minorHAnsi" w:cstheme="minorBidi"/>
          <w:sz w:val="22"/>
          <w:szCs w:val="22"/>
        </w:rPr>
      </w:pPr>
      <w:r w:rsidRPr="000C7029">
        <w:rPr>
          <w14:scene3d>
            <w14:camera w14:prst="orthographicFront"/>
            <w14:lightRig w14:rig="threePt" w14:dir="t">
              <w14:rot w14:lat="0" w14:lon="0" w14:rev="0"/>
            </w14:lightRig>
          </w14:scene3d>
        </w:rPr>
        <w:t>7.1.3</w:t>
      </w:r>
      <w:r w:rsidRPr="000C7029">
        <w:rPr>
          <w:rFonts w:asciiTheme="minorHAnsi" w:eastAsiaTheme="minorEastAsia" w:hAnsiTheme="minorHAnsi" w:cstheme="minorBidi"/>
          <w:sz w:val="22"/>
          <w:szCs w:val="22"/>
        </w:rPr>
        <w:tab/>
      </w:r>
      <w:r w:rsidRPr="000C7029">
        <w:t>Période du "Marché des Producteurs</w:t>
      </w:r>
      <w:r w:rsidR="009E0FAB">
        <w:t>"</w:t>
      </w:r>
      <w:r w:rsidRPr="000C7029">
        <w:tab/>
      </w:r>
      <w:r w:rsidRPr="000C7029">
        <w:fldChar w:fldCharType="begin"/>
      </w:r>
      <w:r w:rsidRPr="000C7029">
        <w:instrText xml:space="preserve"> PAGEREF _Toc33627568 \h </w:instrText>
      </w:r>
      <w:r w:rsidRPr="000C7029">
        <w:fldChar w:fldCharType="separate"/>
      </w:r>
      <w:r w:rsidRPr="000C7029">
        <w:t>6</w:t>
      </w:r>
      <w:r w:rsidRPr="000C7029">
        <w:fldChar w:fldCharType="end"/>
      </w:r>
    </w:p>
    <w:p w14:paraId="6FA382DB" w14:textId="4961828D" w:rsidR="00D83BA6" w:rsidRPr="000C7029" w:rsidRDefault="00D83BA6">
      <w:pPr>
        <w:pStyle w:val="TM2"/>
        <w:rPr>
          <w:rFonts w:asciiTheme="minorHAnsi" w:eastAsiaTheme="minorEastAsia" w:hAnsiTheme="minorHAnsi" w:cstheme="minorBidi"/>
          <w:sz w:val="22"/>
          <w:szCs w:val="22"/>
        </w:rPr>
      </w:pPr>
      <w:r w:rsidRPr="000C7029">
        <w:t>7.2</w:t>
      </w:r>
      <w:r w:rsidRPr="000C7029">
        <w:rPr>
          <w:rFonts w:asciiTheme="minorHAnsi" w:eastAsiaTheme="minorEastAsia" w:hAnsiTheme="minorHAnsi" w:cstheme="minorBidi"/>
          <w:sz w:val="22"/>
          <w:szCs w:val="22"/>
        </w:rPr>
        <w:tab/>
      </w:r>
      <w:r w:rsidRPr="000C7029">
        <w:t>Pénalités</w:t>
      </w:r>
      <w:r w:rsidRPr="000C7029">
        <w:tab/>
      </w:r>
      <w:r w:rsidRPr="000C7029">
        <w:fldChar w:fldCharType="begin"/>
      </w:r>
      <w:r w:rsidRPr="000C7029">
        <w:instrText xml:space="preserve"> PAGEREF _Toc33627569 \h </w:instrText>
      </w:r>
      <w:r w:rsidRPr="000C7029">
        <w:fldChar w:fldCharType="separate"/>
      </w:r>
      <w:r w:rsidRPr="000C7029">
        <w:t>6</w:t>
      </w:r>
      <w:r w:rsidRPr="000C7029">
        <w:fldChar w:fldCharType="end"/>
      </w:r>
    </w:p>
    <w:p w14:paraId="6EE00CF5" w14:textId="42FC6E0A" w:rsidR="00D83BA6" w:rsidRDefault="00D83BA6">
      <w:pPr>
        <w:pStyle w:val="TM1"/>
        <w:rPr>
          <w:rFonts w:asciiTheme="minorHAnsi" w:eastAsiaTheme="minorEastAsia" w:hAnsiTheme="minorHAnsi" w:cstheme="minorBidi"/>
          <w:b w:val="0"/>
          <w:caps w:val="0"/>
          <w:sz w:val="22"/>
          <w:szCs w:val="22"/>
        </w:rPr>
      </w:pPr>
      <w:r w:rsidRPr="000C7029">
        <w:rPr>
          <w:caps w:val="0"/>
          <w14:scene3d>
            <w14:camera w14:prst="orthographicFront"/>
            <w14:lightRig w14:rig="threePt" w14:dir="t">
              <w14:rot w14:lat="0" w14:lon="0" w14:rev="0"/>
            </w14:lightRig>
          </w14:scene3d>
        </w:rPr>
        <w:t>ARTICLE 8</w:t>
      </w:r>
      <w:r w:rsidRPr="000C7029">
        <w:rPr>
          <w:rFonts w:asciiTheme="minorHAnsi" w:eastAsiaTheme="minorEastAsia" w:hAnsiTheme="minorHAnsi" w:cstheme="minorBidi"/>
          <w:b w:val="0"/>
          <w:caps w:val="0"/>
          <w:sz w:val="22"/>
          <w:szCs w:val="22"/>
        </w:rPr>
        <w:tab/>
      </w:r>
      <w:r w:rsidRPr="000C7029">
        <w:t>Obligations administratives du</w:t>
      </w:r>
      <w:r>
        <w:t xml:space="preserve"> bénéficiaire</w:t>
      </w:r>
      <w:r>
        <w:tab/>
      </w:r>
      <w:r>
        <w:fldChar w:fldCharType="begin"/>
      </w:r>
      <w:r>
        <w:instrText xml:space="preserve"> PAGEREF _Toc33627570 \h </w:instrText>
      </w:r>
      <w:r>
        <w:fldChar w:fldCharType="separate"/>
      </w:r>
      <w:r>
        <w:t>7</w:t>
      </w:r>
      <w:r>
        <w:fldChar w:fldCharType="end"/>
      </w:r>
    </w:p>
    <w:p w14:paraId="245E0785" w14:textId="0AE6C0E2" w:rsidR="00D83BA6" w:rsidRDefault="00D83BA6">
      <w:pPr>
        <w:pStyle w:val="TM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Assurance</w:t>
      </w:r>
      <w:r>
        <w:tab/>
      </w:r>
      <w:r>
        <w:fldChar w:fldCharType="begin"/>
      </w:r>
      <w:r>
        <w:instrText xml:space="preserve"> PAGEREF _Toc33627571 \h </w:instrText>
      </w:r>
      <w:r>
        <w:fldChar w:fldCharType="separate"/>
      </w:r>
      <w:r>
        <w:t>7</w:t>
      </w:r>
      <w:r>
        <w:fldChar w:fldCharType="end"/>
      </w:r>
    </w:p>
    <w:p w14:paraId="46533E2D" w14:textId="602F1E09" w:rsidR="00D83BA6" w:rsidRDefault="00D83BA6">
      <w:pPr>
        <w:pStyle w:val="TM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Statuts et forme juridique</w:t>
      </w:r>
      <w:r>
        <w:tab/>
      </w:r>
      <w:r>
        <w:fldChar w:fldCharType="begin"/>
      </w:r>
      <w:r>
        <w:instrText xml:space="preserve"> PAGEREF _Toc33627572 \h </w:instrText>
      </w:r>
      <w:r>
        <w:fldChar w:fldCharType="separate"/>
      </w:r>
      <w:r>
        <w:t>7</w:t>
      </w:r>
      <w:r>
        <w:fldChar w:fldCharType="end"/>
      </w:r>
    </w:p>
    <w:p w14:paraId="02851B6B" w14:textId="376B4A95" w:rsidR="00D83BA6" w:rsidRDefault="00D83BA6">
      <w:pPr>
        <w:pStyle w:val="TM2"/>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Sanctions</w:t>
      </w:r>
      <w:r>
        <w:tab/>
      </w:r>
      <w:r>
        <w:fldChar w:fldCharType="begin"/>
      </w:r>
      <w:r>
        <w:instrText xml:space="preserve"> PAGEREF _Toc33627573 \h </w:instrText>
      </w:r>
      <w:r>
        <w:fldChar w:fldCharType="separate"/>
      </w:r>
      <w:r>
        <w:t>7</w:t>
      </w:r>
      <w:r>
        <w:fldChar w:fldCharType="end"/>
      </w:r>
    </w:p>
    <w:p w14:paraId="47798DE5" w14:textId="7E0E8935"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9</w:t>
      </w:r>
      <w:r>
        <w:rPr>
          <w:rFonts w:asciiTheme="minorHAnsi" w:eastAsiaTheme="minorEastAsia" w:hAnsiTheme="minorHAnsi" w:cstheme="minorBidi"/>
          <w:b w:val="0"/>
          <w:caps w:val="0"/>
          <w:sz w:val="22"/>
          <w:szCs w:val="22"/>
        </w:rPr>
        <w:tab/>
      </w:r>
      <w:r>
        <w:t>PrINCIPE D'ACQUITTEMENT D'UNE REDEVANCE POUR OCCUPATION DU DOMAINE PUBLIC</w:t>
      </w:r>
      <w:r>
        <w:tab/>
      </w:r>
      <w:r>
        <w:fldChar w:fldCharType="begin"/>
      </w:r>
      <w:r>
        <w:instrText xml:space="preserve"> PAGEREF _Toc33627574 \h </w:instrText>
      </w:r>
      <w:r>
        <w:fldChar w:fldCharType="separate"/>
      </w:r>
      <w:r>
        <w:t>7</w:t>
      </w:r>
      <w:r>
        <w:fldChar w:fldCharType="end"/>
      </w:r>
    </w:p>
    <w:p w14:paraId="1D45629D" w14:textId="59FC0317" w:rsidR="00D83BA6" w:rsidRDefault="00D83BA6">
      <w:pPr>
        <w:pStyle w:val="TM2"/>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Principe général</w:t>
      </w:r>
      <w:r>
        <w:tab/>
      </w:r>
      <w:r>
        <w:fldChar w:fldCharType="begin"/>
      </w:r>
      <w:r>
        <w:instrText xml:space="preserve"> PAGEREF _Toc33627575 \h </w:instrText>
      </w:r>
      <w:r>
        <w:fldChar w:fldCharType="separate"/>
      </w:r>
      <w:r>
        <w:t>7</w:t>
      </w:r>
      <w:r>
        <w:fldChar w:fldCharType="end"/>
      </w:r>
    </w:p>
    <w:p w14:paraId="09E4D20B" w14:textId="4567E26B" w:rsidR="00D83BA6" w:rsidRDefault="00D83BA6">
      <w:pPr>
        <w:pStyle w:val="TM3"/>
        <w:rPr>
          <w:rFonts w:asciiTheme="minorHAnsi" w:eastAsiaTheme="minorEastAsia" w:hAnsiTheme="minorHAnsi" w:cstheme="minorBidi"/>
          <w:sz w:val="22"/>
          <w:szCs w:val="22"/>
        </w:rPr>
      </w:pPr>
      <w:r w:rsidRPr="00BC0DB0">
        <w:rPr>
          <w:color w:val="000000"/>
          <w14:scene3d>
            <w14:camera w14:prst="orthographicFront"/>
            <w14:lightRig w14:rig="threePt" w14:dir="t">
              <w14:rot w14:lat="0" w14:lon="0" w14:rev="0"/>
            </w14:lightRig>
          </w14:scene3d>
        </w:rPr>
        <w:t>9.1.1</w:t>
      </w:r>
      <w:r>
        <w:rPr>
          <w:rFonts w:asciiTheme="minorHAnsi" w:eastAsiaTheme="minorEastAsia" w:hAnsiTheme="minorHAnsi" w:cstheme="minorBidi"/>
          <w:sz w:val="22"/>
          <w:szCs w:val="22"/>
        </w:rPr>
        <w:tab/>
      </w:r>
      <w:r>
        <w:t>Redevance fixe</w:t>
      </w:r>
      <w:r>
        <w:tab/>
      </w:r>
      <w:r>
        <w:fldChar w:fldCharType="begin"/>
      </w:r>
      <w:r>
        <w:instrText xml:space="preserve"> PAGEREF _Toc33627576 \h </w:instrText>
      </w:r>
      <w:r>
        <w:fldChar w:fldCharType="separate"/>
      </w:r>
      <w:r>
        <w:t>7</w:t>
      </w:r>
      <w:r>
        <w:fldChar w:fldCharType="end"/>
      </w:r>
    </w:p>
    <w:p w14:paraId="2A5A9B88" w14:textId="31951F20" w:rsidR="00D83BA6" w:rsidRDefault="00D83BA6">
      <w:pPr>
        <w:pStyle w:val="TM2"/>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Évolution tarifaire de la redevance</w:t>
      </w:r>
      <w:r>
        <w:tab/>
      </w:r>
      <w:r>
        <w:fldChar w:fldCharType="begin"/>
      </w:r>
      <w:r>
        <w:instrText xml:space="preserve"> PAGEREF _Toc33627577 \h </w:instrText>
      </w:r>
      <w:r>
        <w:fldChar w:fldCharType="separate"/>
      </w:r>
      <w:r>
        <w:t>8</w:t>
      </w:r>
      <w:r>
        <w:fldChar w:fldCharType="end"/>
      </w:r>
    </w:p>
    <w:p w14:paraId="710D7856" w14:textId="055C4F10" w:rsidR="00D83BA6" w:rsidRDefault="00D83BA6">
      <w:pPr>
        <w:pStyle w:val="TM2"/>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Règlement de la redevance</w:t>
      </w:r>
      <w:r>
        <w:tab/>
      </w:r>
      <w:r>
        <w:fldChar w:fldCharType="begin"/>
      </w:r>
      <w:r>
        <w:instrText xml:space="preserve"> PAGEREF _Toc33627578 \h </w:instrText>
      </w:r>
      <w:r>
        <w:fldChar w:fldCharType="separate"/>
      </w:r>
      <w:r>
        <w:t>8</w:t>
      </w:r>
      <w:r>
        <w:fldChar w:fldCharType="end"/>
      </w:r>
    </w:p>
    <w:p w14:paraId="2CCE6378" w14:textId="257360AC"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10</w:t>
      </w:r>
      <w:r>
        <w:rPr>
          <w:rFonts w:asciiTheme="minorHAnsi" w:eastAsiaTheme="minorEastAsia" w:hAnsiTheme="minorHAnsi" w:cstheme="minorBidi"/>
          <w:b w:val="0"/>
          <w:caps w:val="0"/>
          <w:sz w:val="22"/>
          <w:szCs w:val="22"/>
        </w:rPr>
        <w:tab/>
      </w:r>
      <w:r>
        <w:t>Prestations supplémentaires ou non prévues PAR LA CONVENTION</w:t>
      </w:r>
      <w:r>
        <w:tab/>
      </w:r>
      <w:r>
        <w:fldChar w:fldCharType="begin"/>
      </w:r>
      <w:r>
        <w:instrText xml:space="preserve"> PAGEREF _Toc33627579 \h </w:instrText>
      </w:r>
      <w:r>
        <w:fldChar w:fldCharType="separate"/>
      </w:r>
      <w:r>
        <w:t>8</w:t>
      </w:r>
      <w:r>
        <w:fldChar w:fldCharType="end"/>
      </w:r>
    </w:p>
    <w:p w14:paraId="04CABF8D" w14:textId="7315D647"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11</w:t>
      </w:r>
      <w:r>
        <w:rPr>
          <w:rFonts w:asciiTheme="minorHAnsi" w:eastAsiaTheme="minorEastAsia" w:hAnsiTheme="minorHAnsi" w:cstheme="minorBidi"/>
          <w:b w:val="0"/>
          <w:caps w:val="0"/>
          <w:sz w:val="22"/>
          <w:szCs w:val="22"/>
        </w:rPr>
        <w:tab/>
      </w:r>
      <w:r>
        <w:t>Litiges ne pas modifier</w:t>
      </w:r>
      <w:r>
        <w:tab/>
      </w:r>
      <w:r>
        <w:fldChar w:fldCharType="begin"/>
      </w:r>
      <w:r>
        <w:instrText xml:space="preserve"> PAGEREF _Toc33627580 \h </w:instrText>
      </w:r>
      <w:r>
        <w:fldChar w:fldCharType="separate"/>
      </w:r>
      <w:r>
        <w:t>8</w:t>
      </w:r>
      <w:r>
        <w:fldChar w:fldCharType="end"/>
      </w:r>
    </w:p>
    <w:p w14:paraId="7123263D" w14:textId="361A424A" w:rsidR="00D83BA6" w:rsidRDefault="00D83BA6">
      <w:pPr>
        <w:pStyle w:val="TM1"/>
        <w:rPr>
          <w:rFonts w:asciiTheme="minorHAnsi" w:eastAsiaTheme="minorEastAsia" w:hAnsiTheme="minorHAnsi" w:cstheme="minorBidi"/>
          <w:b w:val="0"/>
          <w:caps w:val="0"/>
          <w:sz w:val="22"/>
          <w:szCs w:val="22"/>
        </w:rPr>
      </w:pPr>
      <w:r w:rsidRPr="00BC0DB0">
        <w:rPr>
          <w:caps w:val="0"/>
          <w:color w:val="000000"/>
          <w14:scene3d>
            <w14:camera w14:prst="orthographicFront"/>
            <w14:lightRig w14:rig="threePt" w14:dir="t">
              <w14:rot w14:lat="0" w14:lon="0" w14:rev="0"/>
            </w14:lightRig>
          </w14:scene3d>
        </w:rPr>
        <w:t>ARTICLE 12</w:t>
      </w:r>
      <w:r>
        <w:rPr>
          <w:rFonts w:asciiTheme="minorHAnsi" w:eastAsiaTheme="minorEastAsia" w:hAnsiTheme="minorHAnsi" w:cstheme="minorBidi"/>
          <w:b w:val="0"/>
          <w:caps w:val="0"/>
          <w:sz w:val="22"/>
          <w:szCs w:val="22"/>
        </w:rPr>
        <w:tab/>
      </w:r>
      <w:r>
        <w:t>Caractère exécutoire</w:t>
      </w:r>
      <w:r>
        <w:tab/>
      </w:r>
      <w:r>
        <w:fldChar w:fldCharType="begin"/>
      </w:r>
      <w:r>
        <w:instrText xml:space="preserve"> PAGEREF _Toc33627581 \h </w:instrText>
      </w:r>
      <w:r>
        <w:fldChar w:fldCharType="separate"/>
      </w:r>
      <w:r>
        <w:t>8</w:t>
      </w:r>
      <w:r>
        <w:fldChar w:fldCharType="end"/>
      </w:r>
    </w:p>
    <w:p w14:paraId="6C7EDDD4" w14:textId="5E7B9E15" w:rsidR="00D83BA6" w:rsidRDefault="00D83BA6">
      <w:pPr>
        <w:pStyle w:val="TM1"/>
        <w:rPr>
          <w:rFonts w:asciiTheme="minorHAnsi" w:eastAsiaTheme="minorEastAsia" w:hAnsiTheme="minorHAnsi" w:cstheme="minorBidi"/>
          <w:b w:val="0"/>
          <w:caps w:val="0"/>
          <w:sz w:val="22"/>
          <w:szCs w:val="22"/>
        </w:rPr>
      </w:pPr>
      <w:r>
        <w:t>ANNEXE à LA CONVENTION</w:t>
      </w:r>
      <w:r>
        <w:tab/>
      </w:r>
      <w:r>
        <w:fldChar w:fldCharType="begin"/>
      </w:r>
      <w:r>
        <w:instrText xml:space="preserve"> PAGEREF _Toc33627582 \h </w:instrText>
      </w:r>
      <w:r>
        <w:fldChar w:fldCharType="separate"/>
      </w:r>
      <w:r>
        <w:t>9</w:t>
      </w:r>
      <w:r>
        <w:fldChar w:fldCharType="end"/>
      </w:r>
    </w:p>
    <w:p w14:paraId="57F4D286" w14:textId="04FFCFF9" w:rsidR="001707A9" w:rsidRDefault="001707A9" w:rsidP="001707A9">
      <w:pPr>
        <w:pStyle w:val="texte1"/>
      </w:pPr>
      <w:r>
        <w:fldChar w:fldCharType="end"/>
      </w:r>
    </w:p>
    <w:p w14:paraId="663D42B5" w14:textId="77777777" w:rsidR="00531278" w:rsidRDefault="00531278">
      <w:pPr>
        <w:rPr>
          <w:rFonts w:ascii="Times" w:hAnsi="Times"/>
        </w:rPr>
      </w:pPr>
      <w:r>
        <w:br w:type="page"/>
      </w:r>
    </w:p>
    <w:p w14:paraId="573511DD" w14:textId="3E6B4E53" w:rsidR="00513D5B" w:rsidRDefault="00513D5B" w:rsidP="00025D9C">
      <w:pPr>
        <w:pStyle w:val="Titre1"/>
      </w:pPr>
      <w:bookmarkStart w:id="1" w:name="_Toc33627550"/>
      <w:r>
        <w:lastRenderedPageBreak/>
        <w:t>contractants</w:t>
      </w:r>
      <w:bookmarkEnd w:id="0"/>
      <w:bookmarkEnd w:id="1"/>
    </w:p>
    <w:p w14:paraId="35A8AD2E" w14:textId="77777777" w:rsidR="0093325E" w:rsidRPr="0093325E" w:rsidRDefault="0093325E" w:rsidP="0093325E">
      <w:pPr>
        <w:pStyle w:val="texte1"/>
      </w:pPr>
    </w:p>
    <w:p w14:paraId="29FB2BA5" w14:textId="77777777" w:rsidR="00513D5B" w:rsidRDefault="00513D5B" w:rsidP="00513D5B"/>
    <w:tbl>
      <w:tblPr>
        <w:tblW w:w="963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309"/>
        <w:gridCol w:w="5329"/>
      </w:tblGrid>
      <w:tr w:rsidR="00513D5B" w:rsidRPr="00C26BF9" w14:paraId="156536DE" w14:textId="77777777" w:rsidTr="00C26BF9">
        <w:trPr>
          <w:cantSplit/>
        </w:trPr>
        <w:tc>
          <w:tcPr>
            <w:tcW w:w="4309" w:type="dxa"/>
            <w:shd w:val="clear" w:color="auto" w:fill="D9D9D9" w:themeFill="background1" w:themeFillShade="D9"/>
            <w:vAlign w:val="center"/>
          </w:tcPr>
          <w:p w14:paraId="23C6230C" w14:textId="77777777" w:rsidR="00513D5B" w:rsidRPr="00C26BF9" w:rsidRDefault="006053FD" w:rsidP="007D09F5">
            <w:pPr>
              <w:rPr>
                <w:b/>
              </w:rPr>
            </w:pPr>
            <w:r w:rsidRPr="00C26BF9">
              <w:rPr>
                <w:b/>
              </w:rPr>
              <w:t>Personne publique</w:t>
            </w:r>
          </w:p>
        </w:tc>
        <w:tc>
          <w:tcPr>
            <w:tcW w:w="5329" w:type="dxa"/>
            <w:shd w:val="clear" w:color="auto" w:fill="D9D9D9" w:themeFill="background1" w:themeFillShade="D9"/>
            <w:vAlign w:val="center"/>
          </w:tcPr>
          <w:p w14:paraId="033B4F7E" w14:textId="77777777" w:rsidR="00513D5B" w:rsidRPr="00C26BF9" w:rsidRDefault="00513D5B" w:rsidP="007D09F5">
            <w:pPr>
              <w:rPr>
                <w:b/>
                <w:caps/>
              </w:rPr>
            </w:pPr>
            <w:r w:rsidRPr="00C26BF9">
              <w:rPr>
                <w:b/>
                <w:caps/>
              </w:rPr>
              <w:t>ville de Boulogne-Billancourt</w:t>
            </w:r>
          </w:p>
        </w:tc>
      </w:tr>
      <w:tr w:rsidR="00513D5B" w14:paraId="74A36E1A" w14:textId="77777777" w:rsidTr="00B10D67">
        <w:trPr>
          <w:cantSplit/>
        </w:trPr>
        <w:tc>
          <w:tcPr>
            <w:tcW w:w="4309" w:type="dxa"/>
            <w:vAlign w:val="center"/>
          </w:tcPr>
          <w:p w14:paraId="66F6AEED" w14:textId="77777777" w:rsidR="00513D5B" w:rsidRDefault="00513D5B" w:rsidP="006053FD">
            <w:r>
              <w:t>Représentant légal d</w:t>
            </w:r>
            <w:r w:rsidR="006053FD">
              <w:t>e la personne publique</w:t>
            </w:r>
          </w:p>
        </w:tc>
        <w:tc>
          <w:tcPr>
            <w:tcW w:w="5329" w:type="dxa"/>
            <w:vAlign w:val="center"/>
          </w:tcPr>
          <w:p w14:paraId="20A1A77F" w14:textId="40997708" w:rsidR="00513D5B" w:rsidRPr="00C84014" w:rsidRDefault="00513D5B" w:rsidP="00D1349B">
            <w:pPr>
              <w:rPr>
                <w:i/>
                <w:color w:val="FF0000"/>
              </w:rPr>
            </w:pPr>
            <w:r>
              <w:t xml:space="preserve">Le Maire de la ville de Boulogne-Billancourt agissant en vertu </w:t>
            </w:r>
            <w:r w:rsidRPr="00B95451">
              <w:t xml:space="preserve">de la délibération </w:t>
            </w:r>
            <w:r w:rsidR="00D1349B">
              <w:t>n°</w:t>
            </w:r>
            <w:r w:rsidR="00D1349B" w:rsidRPr="00D1349B">
              <w:t xml:space="preserve"> </w:t>
            </w:r>
            <w:r w:rsidR="00C84014" w:rsidRPr="00D1349B">
              <w:t>5 du 28 mai 2020</w:t>
            </w:r>
          </w:p>
        </w:tc>
      </w:tr>
      <w:tr w:rsidR="00513D5B" w14:paraId="7EC4F8AE" w14:textId="77777777" w:rsidTr="00B10D67">
        <w:trPr>
          <w:cantSplit/>
        </w:trPr>
        <w:tc>
          <w:tcPr>
            <w:tcW w:w="4309" w:type="dxa"/>
            <w:vAlign w:val="center"/>
          </w:tcPr>
          <w:p w14:paraId="3CC3D9C6" w14:textId="77777777" w:rsidR="00513D5B" w:rsidRDefault="00C26BF9" w:rsidP="007D09F5">
            <w:r>
              <w:t>Délégué du représentant légal</w:t>
            </w:r>
          </w:p>
        </w:tc>
        <w:tc>
          <w:tcPr>
            <w:tcW w:w="5329" w:type="dxa"/>
            <w:vAlign w:val="center"/>
          </w:tcPr>
          <w:p w14:paraId="4086645C" w14:textId="03B438E7" w:rsidR="00513D5B" w:rsidRPr="000B3BE7" w:rsidRDefault="00513D5B" w:rsidP="00D1349B">
            <w:pPr>
              <w:rPr>
                <w:color w:val="FF0000"/>
              </w:rPr>
            </w:pPr>
            <w:r>
              <w:t xml:space="preserve">Le Maire-adjoint délégué </w:t>
            </w:r>
            <w:r w:rsidR="00D1349B">
              <w:t>à l'E</w:t>
            </w:r>
            <w:r w:rsidR="000B3BE7" w:rsidRPr="00D1349B">
              <w:t>space public</w:t>
            </w:r>
            <w:r w:rsidR="00D1349B">
              <w:t xml:space="preserve"> et à la Propreté </w:t>
            </w:r>
          </w:p>
        </w:tc>
      </w:tr>
      <w:tr w:rsidR="00513D5B" w14:paraId="60183BA1" w14:textId="77777777" w:rsidTr="003F7126">
        <w:trPr>
          <w:cantSplit/>
          <w:trHeight w:val="363"/>
        </w:trPr>
        <w:tc>
          <w:tcPr>
            <w:tcW w:w="4309" w:type="dxa"/>
            <w:vAlign w:val="center"/>
          </w:tcPr>
          <w:p w14:paraId="6585348D" w14:textId="77777777" w:rsidR="00513D5B" w:rsidRDefault="00513D5B" w:rsidP="007D09F5">
            <w:r>
              <w:t xml:space="preserve">Direction gestionnaire </w:t>
            </w:r>
          </w:p>
        </w:tc>
        <w:tc>
          <w:tcPr>
            <w:tcW w:w="5329" w:type="dxa"/>
            <w:vAlign w:val="center"/>
          </w:tcPr>
          <w:p w14:paraId="423E037A" w14:textId="56677E95" w:rsidR="00513D5B" w:rsidRDefault="00135193" w:rsidP="00687547">
            <w:r>
              <w:rPr>
                <w:iCs/>
                <w:caps/>
              </w:rPr>
              <w:t xml:space="preserve">dIRECTION </w:t>
            </w:r>
            <w:r w:rsidR="00D4744C">
              <w:rPr>
                <w:iCs/>
                <w:caps/>
              </w:rPr>
              <w:t>DÉMOCRATIE</w:t>
            </w:r>
            <w:r w:rsidR="00687547">
              <w:rPr>
                <w:iCs/>
                <w:caps/>
              </w:rPr>
              <w:t xml:space="preserve"> LOCALE ET </w:t>
            </w:r>
            <w:r w:rsidR="003F7126">
              <w:rPr>
                <w:iCs/>
                <w:caps/>
              </w:rPr>
              <w:t>ANIMATION DES QUARTIERS</w:t>
            </w:r>
          </w:p>
        </w:tc>
      </w:tr>
      <w:tr w:rsidR="00513D5B" w14:paraId="35CF9BE0" w14:textId="77777777" w:rsidTr="00B10D67">
        <w:trPr>
          <w:cantSplit/>
        </w:trPr>
        <w:tc>
          <w:tcPr>
            <w:tcW w:w="4309" w:type="dxa"/>
            <w:vAlign w:val="center"/>
          </w:tcPr>
          <w:p w14:paraId="1CB4874D" w14:textId="77777777" w:rsidR="00513D5B" w:rsidRDefault="00513D5B" w:rsidP="007D09F5">
            <w:r>
              <w:t>Siret</w:t>
            </w:r>
          </w:p>
          <w:p w14:paraId="54B75975" w14:textId="77777777" w:rsidR="00513D5B" w:rsidRDefault="00513D5B" w:rsidP="007D09F5">
            <w:r>
              <w:t>APE</w:t>
            </w:r>
          </w:p>
        </w:tc>
        <w:tc>
          <w:tcPr>
            <w:tcW w:w="5329" w:type="dxa"/>
            <w:vAlign w:val="center"/>
          </w:tcPr>
          <w:p w14:paraId="18EFB818" w14:textId="77777777" w:rsidR="00513D5B" w:rsidRDefault="00513D5B" w:rsidP="007D09F5">
            <w:r w:rsidRPr="00345733">
              <w:t xml:space="preserve">219 200 12800011 </w:t>
            </w:r>
          </w:p>
          <w:p w14:paraId="3F763B59" w14:textId="77777777" w:rsidR="00513D5B" w:rsidRDefault="00513D5B" w:rsidP="007D09F5">
            <w:r w:rsidRPr="00345733">
              <w:t>751A</w:t>
            </w:r>
          </w:p>
        </w:tc>
      </w:tr>
      <w:tr w:rsidR="00513D5B" w14:paraId="47BBEE9D" w14:textId="77777777" w:rsidTr="00B10D67">
        <w:trPr>
          <w:cantSplit/>
        </w:trPr>
        <w:tc>
          <w:tcPr>
            <w:tcW w:w="4309" w:type="dxa"/>
            <w:vAlign w:val="center"/>
          </w:tcPr>
          <w:p w14:paraId="789BB258" w14:textId="77777777" w:rsidR="00513D5B" w:rsidRDefault="00513D5B" w:rsidP="007D09F5">
            <w:r>
              <w:t>Ordonnateur</w:t>
            </w:r>
          </w:p>
        </w:tc>
        <w:tc>
          <w:tcPr>
            <w:tcW w:w="5329" w:type="dxa"/>
            <w:vAlign w:val="center"/>
          </w:tcPr>
          <w:p w14:paraId="0815CF3C" w14:textId="77777777" w:rsidR="00513D5B" w:rsidRDefault="00513D5B" w:rsidP="007D09F5">
            <w:r>
              <w:t>Le Maire de la ville de Boulogne-Billancourt</w:t>
            </w:r>
          </w:p>
        </w:tc>
      </w:tr>
      <w:tr w:rsidR="00513D5B" w14:paraId="123DF0DD" w14:textId="77777777" w:rsidTr="00B10D67">
        <w:trPr>
          <w:cantSplit/>
        </w:trPr>
        <w:tc>
          <w:tcPr>
            <w:tcW w:w="4309" w:type="dxa"/>
            <w:vAlign w:val="center"/>
          </w:tcPr>
          <w:p w14:paraId="0FBDD142" w14:textId="77777777" w:rsidR="00513D5B" w:rsidRDefault="00513D5B" w:rsidP="000A142B">
            <w:r>
              <w:t xml:space="preserve">Comptable public assignataire </w:t>
            </w:r>
          </w:p>
        </w:tc>
        <w:tc>
          <w:tcPr>
            <w:tcW w:w="5329" w:type="dxa"/>
            <w:vAlign w:val="center"/>
          </w:tcPr>
          <w:p w14:paraId="00118AC0" w14:textId="77777777" w:rsidR="00513D5B" w:rsidRDefault="00513D5B" w:rsidP="007D09F5">
            <w:r>
              <w:t>Le Trésorier Municipal de Boulogne-Billancourt</w:t>
            </w:r>
          </w:p>
          <w:p w14:paraId="3C049CF3" w14:textId="77777777" w:rsidR="00513D5B" w:rsidRDefault="00513D5B" w:rsidP="007D09F5">
            <w:r>
              <w:t xml:space="preserve">32, rue </w:t>
            </w:r>
            <w:proofErr w:type="spellStart"/>
            <w:r>
              <w:t>Fessart</w:t>
            </w:r>
            <w:proofErr w:type="spellEnd"/>
            <w:r>
              <w:t xml:space="preserve"> – 92100 Boulogne-Billancourt</w:t>
            </w:r>
          </w:p>
          <w:p w14:paraId="1805EEC6" w14:textId="77777777" w:rsidR="00513D5B" w:rsidRDefault="00513D5B" w:rsidP="007D09F5">
            <w:r>
              <w:t>Tél : 01 46 03 99 86</w:t>
            </w:r>
          </w:p>
          <w:p w14:paraId="36A5D089" w14:textId="77777777" w:rsidR="00513D5B" w:rsidRDefault="00513D5B" w:rsidP="007D09F5">
            <w:r>
              <w:t>Mé</w:t>
            </w:r>
            <w:r w:rsidRPr="008F1BCD">
              <w:t>l</w:t>
            </w:r>
            <w:r>
              <w:t xml:space="preserve"> </w:t>
            </w:r>
            <w:r w:rsidRPr="008F1BCD">
              <w:t xml:space="preserve">: </w:t>
            </w:r>
            <w:hyperlink r:id="rId9" w:history="1">
              <w:r w:rsidRPr="00CD68D6">
                <w:rPr>
                  <w:rStyle w:val="Lienhypertexte"/>
                </w:rPr>
                <w:t>t092007@dgfip.finances.gouv.fr</w:t>
              </w:r>
            </w:hyperlink>
            <w:r w:rsidRPr="00CD68D6">
              <w:rPr>
                <w:rStyle w:val="Lienhypertexte"/>
              </w:rPr>
              <w:t xml:space="preserve"> </w:t>
            </w:r>
          </w:p>
        </w:tc>
      </w:tr>
    </w:tbl>
    <w:p w14:paraId="6D4E00A2" w14:textId="7D28F7CC" w:rsidR="00513D5B" w:rsidRDefault="00513D5B" w:rsidP="00513D5B"/>
    <w:p w14:paraId="27B73D94" w14:textId="77777777" w:rsidR="0093325E" w:rsidRDefault="0093325E" w:rsidP="00513D5B"/>
    <w:p w14:paraId="647B4973" w14:textId="77777777" w:rsidR="00513D5B" w:rsidRPr="00190BA7" w:rsidRDefault="00513D5B" w:rsidP="00513D5B"/>
    <w:tbl>
      <w:tblPr>
        <w:tblW w:w="963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678"/>
        <w:gridCol w:w="4961"/>
      </w:tblGrid>
      <w:tr w:rsidR="00513D5B" w:rsidRPr="00D1523F" w14:paraId="5056C93D" w14:textId="77777777" w:rsidTr="007D09F5">
        <w:trPr>
          <w:cantSplit/>
          <w:trHeight w:val="54"/>
        </w:trPr>
        <w:tc>
          <w:tcPr>
            <w:tcW w:w="9639" w:type="dxa"/>
            <w:gridSpan w:val="2"/>
            <w:shd w:val="clear" w:color="auto" w:fill="D9D9D9" w:themeFill="background1" w:themeFillShade="D9"/>
          </w:tcPr>
          <w:p w14:paraId="68BDB1B1" w14:textId="77777777" w:rsidR="00513D5B" w:rsidRPr="00D1523F" w:rsidRDefault="00F86D84" w:rsidP="005E6825">
            <w:pPr>
              <w:tabs>
                <w:tab w:val="left" w:pos="1219"/>
                <w:tab w:val="left" w:pos="1530"/>
              </w:tabs>
              <w:jc w:val="both"/>
              <w:rPr>
                <w:b/>
              </w:rPr>
            </w:pPr>
            <w:r>
              <w:rPr>
                <w:b/>
              </w:rPr>
              <w:t xml:space="preserve">BÉNÉFICIAIRE </w:t>
            </w:r>
          </w:p>
        </w:tc>
      </w:tr>
      <w:tr w:rsidR="00513D5B" w14:paraId="58983957" w14:textId="77777777" w:rsidTr="007D09F5">
        <w:trPr>
          <w:cantSplit/>
        </w:trPr>
        <w:tc>
          <w:tcPr>
            <w:tcW w:w="4678" w:type="dxa"/>
          </w:tcPr>
          <w:p w14:paraId="2C72FF41" w14:textId="77777777" w:rsidR="00513D5B" w:rsidRDefault="00513D5B" w:rsidP="007D09F5">
            <w:pPr>
              <w:tabs>
                <w:tab w:val="left" w:pos="1219"/>
                <w:tab w:val="left" w:pos="1530"/>
              </w:tabs>
              <w:jc w:val="both"/>
            </w:pPr>
            <w:r>
              <w:t xml:space="preserve">Monsieur Madame </w:t>
            </w:r>
            <w:r>
              <w:rPr>
                <w:sz w:val="18"/>
              </w:rPr>
              <w:t>(prénom, nom du signataire)</w:t>
            </w:r>
          </w:p>
        </w:tc>
        <w:tc>
          <w:tcPr>
            <w:tcW w:w="4961" w:type="dxa"/>
          </w:tcPr>
          <w:p w14:paraId="52B72F23" w14:textId="77777777" w:rsidR="00513D5B" w:rsidRDefault="00513D5B" w:rsidP="007D09F5">
            <w:pPr>
              <w:tabs>
                <w:tab w:val="left" w:pos="1219"/>
                <w:tab w:val="left" w:pos="1530"/>
              </w:tabs>
              <w:jc w:val="both"/>
            </w:pPr>
          </w:p>
        </w:tc>
      </w:tr>
      <w:tr w:rsidR="00513D5B" w14:paraId="6010AAAE" w14:textId="77777777" w:rsidTr="007D09F5">
        <w:trPr>
          <w:cantSplit/>
        </w:trPr>
        <w:tc>
          <w:tcPr>
            <w:tcW w:w="4678" w:type="dxa"/>
          </w:tcPr>
          <w:p w14:paraId="62DCA076" w14:textId="77777777" w:rsidR="00513D5B" w:rsidRDefault="00513D5B" w:rsidP="007D09F5">
            <w:proofErr w:type="gramStart"/>
            <w:r>
              <w:t>agissant</w:t>
            </w:r>
            <w:proofErr w:type="gramEnd"/>
            <w:r>
              <w:t xml:space="preserve"> en qualité de </w:t>
            </w:r>
            <w:r>
              <w:rPr>
                <w:sz w:val="14"/>
              </w:rPr>
              <w:t>(qualité du signataire)</w:t>
            </w:r>
          </w:p>
        </w:tc>
        <w:tc>
          <w:tcPr>
            <w:tcW w:w="4961" w:type="dxa"/>
          </w:tcPr>
          <w:p w14:paraId="4504B140" w14:textId="77777777" w:rsidR="00513D5B" w:rsidRDefault="00513D5B" w:rsidP="007D09F5">
            <w:pPr>
              <w:tabs>
                <w:tab w:val="left" w:pos="1219"/>
                <w:tab w:val="left" w:pos="1530"/>
              </w:tabs>
              <w:jc w:val="both"/>
            </w:pPr>
          </w:p>
        </w:tc>
      </w:tr>
      <w:tr w:rsidR="00513D5B" w14:paraId="35C2C5AF" w14:textId="77777777" w:rsidTr="007D09F5">
        <w:trPr>
          <w:cantSplit/>
        </w:trPr>
        <w:tc>
          <w:tcPr>
            <w:tcW w:w="4678" w:type="dxa"/>
          </w:tcPr>
          <w:p w14:paraId="7A70CB85" w14:textId="77777777" w:rsidR="00513D5B" w:rsidRDefault="00B10D67" w:rsidP="00B10D67">
            <w:pPr>
              <w:tabs>
                <w:tab w:val="left" w:pos="1219"/>
                <w:tab w:val="left" w:pos="1530"/>
              </w:tabs>
              <w:jc w:val="both"/>
            </w:pPr>
            <w:proofErr w:type="gramStart"/>
            <w:r>
              <w:t>de</w:t>
            </w:r>
            <w:proofErr w:type="gramEnd"/>
            <w:r>
              <w:t xml:space="preserve"> la Société</w:t>
            </w:r>
          </w:p>
        </w:tc>
        <w:tc>
          <w:tcPr>
            <w:tcW w:w="4961" w:type="dxa"/>
          </w:tcPr>
          <w:p w14:paraId="543CA640" w14:textId="77777777" w:rsidR="00513D5B" w:rsidRDefault="00513D5B" w:rsidP="007D09F5">
            <w:pPr>
              <w:tabs>
                <w:tab w:val="left" w:pos="1219"/>
                <w:tab w:val="left" w:pos="1530"/>
              </w:tabs>
              <w:jc w:val="both"/>
            </w:pPr>
          </w:p>
        </w:tc>
      </w:tr>
      <w:tr w:rsidR="00513D5B" w14:paraId="42C4C111" w14:textId="77777777" w:rsidTr="007D09F5">
        <w:trPr>
          <w:cantSplit/>
        </w:trPr>
        <w:tc>
          <w:tcPr>
            <w:tcW w:w="4678" w:type="dxa"/>
          </w:tcPr>
          <w:p w14:paraId="0C269BA6" w14:textId="77777777" w:rsidR="00513D5B" w:rsidRDefault="00513D5B" w:rsidP="007D09F5">
            <w:pPr>
              <w:tabs>
                <w:tab w:val="left" w:pos="1219"/>
                <w:tab w:val="left" w:pos="1530"/>
              </w:tabs>
              <w:jc w:val="both"/>
            </w:pPr>
            <w:proofErr w:type="gramStart"/>
            <w:r>
              <w:t>sise</w:t>
            </w:r>
            <w:proofErr w:type="gramEnd"/>
            <w:r>
              <w:t xml:space="preserve"> </w:t>
            </w:r>
            <w:r>
              <w:rPr>
                <w:sz w:val="18"/>
              </w:rPr>
              <w:t>(adresse postale)</w:t>
            </w:r>
          </w:p>
        </w:tc>
        <w:tc>
          <w:tcPr>
            <w:tcW w:w="4961" w:type="dxa"/>
          </w:tcPr>
          <w:p w14:paraId="402DF750" w14:textId="77777777" w:rsidR="00513D5B" w:rsidRDefault="00513D5B" w:rsidP="007D09F5">
            <w:pPr>
              <w:tabs>
                <w:tab w:val="left" w:pos="1219"/>
                <w:tab w:val="left" w:pos="1530"/>
              </w:tabs>
              <w:jc w:val="both"/>
            </w:pPr>
          </w:p>
          <w:p w14:paraId="3E7580E5" w14:textId="77777777" w:rsidR="00513D5B" w:rsidRDefault="00513D5B" w:rsidP="007D09F5">
            <w:pPr>
              <w:tabs>
                <w:tab w:val="left" w:pos="1219"/>
                <w:tab w:val="left" w:pos="1530"/>
              </w:tabs>
              <w:jc w:val="both"/>
            </w:pPr>
          </w:p>
          <w:p w14:paraId="3CDE99F3" w14:textId="77777777" w:rsidR="00513D5B" w:rsidRDefault="00513D5B" w:rsidP="007D09F5">
            <w:pPr>
              <w:tabs>
                <w:tab w:val="left" w:pos="1219"/>
                <w:tab w:val="left" w:pos="1530"/>
              </w:tabs>
              <w:jc w:val="both"/>
            </w:pPr>
          </w:p>
        </w:tc>
      </w:tr>
      <w:tr w:rsidR="00513D5B" w14:paraId="253518D0" w14:textId="77777777" w:rsidTr="007D09F5">
        <w:trPr>
          <w:cantSplit/>
        </w:trPr>
        <w:tc>
          <w:tcPr>
            <w:tcW w:w="4678" w:type="dxa"/>
          </w:tcPr>
          <w:p w14:paraId="112F6F16" w14:textId="77777777" w:rsidR="00513D5B" w:rsidRDefault="00513D5B" w:rsidP="007D09F5">
            <w:pPr>
              <w:tabs>
                <w:tab w:val="left" w:pos="1219"/>
                <w:tab w:val="left" w:pos="1530"/>
              </w:tabs>
              <w:jc w:val="both"/>
            </w:pPr>
            <w:proofErr w:type="gramStart"/>
            <w:r>
              <w:t>téléphone</w:t>
            </w:r>
            <w:proofErr w:type="gramEnd"/>
          </w:p>
          <w:p w14:paraId="63C56486" w14:textId="77777777" w:rsidR="00513D5B" w:rsidRDefault="00513D5B" w:rsidP="007D09F5">
            <w:pPr>
              <w:tabs>
                <w:tab w:val="left" w:pos="1219"/>
                <w:tab w:val="left" w:pos="1530"/>
              </w:tabs>
              <w:jc w:val="both"/>
            </w:pPr>
            <w:proofErr w:type="gramStart"/>
            <w:r>
              <w:t>courriel</w:t>
            </w:r>
            <w:proofErr w:type="gramEnd"/>
            <w:r>
              <w:t xml:space="preserve"> </w:t>
            </w:r>
            <w:r>
              <w:rPr>
                <w:sz w:val="18"/>
              </w:rPr>
              <w:t>(obligatoire*)</w:t>
            </w:r>
          </w:p>
        </w:tc>
        <w:tc>
          <w:tcPr>
            <w:tcW w:w="4961" w:type="dxa"/>
          </w:tcPr>
          <w:p w14:paraId="26AE581A" w14:textId="77777777" w:rsidR="00513D5B" w:rsidRDefault="00513D5B" w:rsidP="007D09F5">
            <w:pPr>
              <w:tabs>
                <w:tab w:val="left" w:pos="1219"/>
                <w:tab w:val="left" w:pos="1530"/>
              </w:tabs>
              <w:jc w:val="both"/>
            </w:pPr>
          </w:p>
          <w:p w14:paraId="097694BF" w14:textId="77777777" w:rsidR="00513D5B" w:rsidRDefault="00513D5B" w:rsidP="007D09F5">
            <w:pPr>
              <w:tabs>
                <w:tab w:val="left" w:pos="1219"/>
                <w:tab w:val="left" w:pos="1530"/>
              </w:tabs>
              <w:jc w:val="both"/>
            </w:pPr>
          </w:p>
        </w:tc>
      </w:tr>
      <w:tr w:rsidR="00513D5B" w14:paraId="13FA7B31" w14:textId="77777777" w:rsidTr="007D09F5">
        <w:trPr>
          <w:cantSplit/>
        </w:trPr>
        <w:tc>
          <w:tcPr>
            <w:tcW w:w="4678" w:type="dxa"/>
          </w:tcPr>
          <w:p w14:paraId="0105AA99" w14:textId="77777777" w:rsidR="00513D5B" w:rsidRDefault="00513D5B" w:rsidP="00051E4B">
            <w:pPr>
              <w:tabs>
                <w:tab w:val="left" w:pos="1219"/>
                <w:tab w:val="left" w:pos="1530"/>
              </w:tabs>
              <w:jc w:val="both"/>
            </w:pPr>
            <w:proofErr w:type="gramStart"/>
            <w:r>
              <w:t>inscrite</w:t>
            </w:r>
            <w:proofErr w:type="gramEnd"/>
            <w:r>
              <w:t xml:space="preserve"> au Registre du Commerce</w:t>
            </w:r>
            <w:r w:rsidR="00955B3C">
              <w:t xml:space="preserve"> de</w:t>
            </w:r>
            <w:r>
              <w:t xml:space="preserve"> </w:t>
            </w:r>
            <w:r w:rsidR="00051E4B">
              <w:t>:</w:t>
            </w:r>
          </w:p>
        </w:tc>
        <w:tc>
          <w:tcPr>
            <w:tcW w:w="4961" w:type="dxa"/>
          </w:tcPr>
          <w:p w14:paraId="516E6A8D" w14:textId="77777777" w:rsidR="00513D5B" w:rsidRDefault="00513D5B" w:rsidP="007D09F5">
            <w:pPr>
              <w:tabs>
                <w:tab w:val="left" w:pos="1219"/>
                <w:tab w:val="left" w:pos="1530"/>
              </w:tabs>
              <w:jc w:val="both"/>
            </w:pPr>
          </w:p>
        </w:tc>
      </w:tr>
      <w:tr w:rsidR="00513D5B" w14:paraId="1E4D77A2" w14:textId="77777777" w:rsidTr="007D09F5">
        <w:trPr>
          <w:cantSplit/>
        </w:trPr>
        <w:tc>
          <w:tcPr>
            <w:tcW w:w="4678" w:type="dxa"/>
          </w:tcPr>
          <w:p w14:paraId="350CBF8F" w14:textId="77777777" w:rsidR="00513D5B" w:rsidRDefault="00513D5B" w:rsidP="007D09F5">
            <w:pPr>
              <w:tabs>
                <w:tab w:val="left" w:pos="1219"/>
                <w:tab w:val="left" w:pos="1530"/>
              </w:tabs>
              <w:jc w:val="both"/>
            </w:pPr>
            <w:proofErr w:type="gramStart"/>
            <w:r>
              <w:t>code</w:t>
            </w:r>
            <w:proofErr w:type="gramEnd"/>
            <w:r>
              <w:t xml:space="preserve"> APE</w:t>
            </w:r>
          </w:p>
        </w:tc>
        <w:tc>
          <w:tcPr>
            <w:tcW w:w="4961" w:type="dxa"/>
          </w:tcPr>
          <w:p w14:paraId="451DAB9D" w14:textId="77777777" w:rsidR="00513D5B" w:rsidRDefault="00513D5B" w:rsidP="007D09F5">
            <w:pPr>
              <w:tabs>
                <w:tab w:val="left" w:pos="1219"/>
                <w:tab w:val="left" w:pos="1530"/>
              </w:tabs>
              <w:jc w:val="both"/>
            </w:pPr>
          </w:p>
        </w:tc>
      </w:tr>
    </w:tbl>
    <w:p w14:paraId="1CF35446" w14:textId="5989710F" w:rsidR="00513D5B" w:rsidRDefault="00513D5B" w:rsidP="00513D5B">
      <w:pPr>
        <w:tabs>
          <w:tab w:val="left" w:pos="1219"/>
          <w:tab w:val="left" w:pos="1530"/>
        </w:tabs>
        <w:ind w:right="-22"/>
        <w:jc w:val="both"/>
        <w:rPr>
          <w:sz w:val="18"/>
        </w:rPr>
      </w:pPr>
      <w:r w:rsidRPr="00A02AA7">
        <w:rPr>
          <w:sz w:val="18"/>
        </w:rPr>
        <w:t>* Il conviendra de préciser une adresse généraliste plutôt que nominative afin d’assurer la transmission effective des correspondances.</w:t>
      </w:r>
    </w:p>
    <w:p w14:paraId="08C3277E" w14:textId="77777777" w:rsidR="0093325E" w:rsidRDefault="0093325E" w:rsidP="00513D5B">
      <w:pPr>
        <w:tabs>
          <w:tab w:val="left" w:pos="1219"/>
          <w:tab w:val="left" w:pos="1530"/>
        </w:tabs>
        <w:ind w:right="-22"/>
        <w:jc w:val="both"/>
      </w:pPr>
    </w:p>
    <w:p w14:paraId="3DF4D3C7" w14:textId="77777777" w:rsidR="00F878BB" w:rsidRDefault="00EF7406" w:rsidP="00025D9C">
      <w:pPr>
        <w:pStyle w:val="Titre1"/>
      </w:pPr>
      <w:bookmarkStart w:id="2" w:name="_Toc33627551"/>
      <w:r w:rsidRPr="00A038E6">
        <w:t>CONTEXTE</w:t>
      </w:r>
      <w:bookmarkEnd w:id="2"/>
    </w:p>
    <w:p w14:paraId="746D44AB" w14:textId="73846505" w:rsidR="00135193" w:rsidRDefault="00F64BA9" w:rsidP="00135193">
      <w:pPr>
        <w:jc w:val="both"/>
      </w:pPr>
      <w:r>
        <w:t xml:space="preserve">Depuis </w:t>
      </w:r>
      <w:r w:rsidR="0099361F">
        <w:t>1</w:t>
      </w:r>
      <w:r w:rsidR="003F7126">
        <w:t>3</w:t>
      </w:r>
      <w:r w:rsidR="00D1349B" w:rsidRPr="00D1349B">
        <w:t xml:space="preserve"> ans</w:t>
      </w:r>
      <w:r w:rsidR="00135193" w:rsidRPr="00D1349B">
        <w:t xml:space="preserve"> un</w:t>
      </w:r>
      <w:r w:rsidR="00B76A73">
        <w:t xml:space="preserve"> M</w:t>
      </w:r>
      <w:r w:rsidR="00ED42F8">
        <w:t>arché des P</w:t>
      </w:r>
      <w:r w:rsidR="00135193">
        <w:t xml:space="preserve">roducteurs de </w:t>
      </w:r>
      <w:r w:rsidR="00116D89">
        <w:t>terroir</w:t>
      </w:r>
      <w:r w:rsidR="00D1349B">
        <w:t xml:space="preserve"> est t</w:t>
      </w:r>
      <w:r w:rsidR="007F6E91" w:rsidRPr="00D1349B">
        <w:t>raditionnellement</w:t>
      </w:r>
      <w:r w:rsidR="007F6E91">
        <w:t xml:space="preserve"> organisé</w:t>
      </w:r>
      <w:r w:rsidR="00135193" w:rsidRPr="0002266D">
        <w:t xml:space="preserve"> le deuxième week-end du </w:t>
      </w:r>
      <w:r w:rsidR="007F6E91">
        <w:t>mois d’octobre sur la Grand-</w:t>
      </w:r>
      <w:r w:rsidR="00135193">
        <w:t>Place de la Ville de Boulogne-Billancourt.</w:t>
      </w:r>
    </w:p>
    <w:p w14:paraId="035317C0" w14:textId="77777777" w:rsidR="00EF7406" w:rsidRDefault="00EF7406" w:rsidP="00025D9C">
      <w:pPr>
        <w:pStyle w:val="Titre1"/>
      </w:pPr>
      <w:bookmarkStart w:id="3" w:name="_Toc33627552"/>
      <w:bookmarkStart w:id="4" w:name="_Toc2493905"/>
      <w:r>
        <w:t>OBJET</w:t>
      </w:r>
      <w:bookmarkEnd w:id="3"/>
    </w:p>
    <w:p w14:paraId="1E7FD74A" w14:textId="248C6051" w:rsidR="0093325E" w:rsidRPr="00E94041" w:rsidRDefault="00A66238" w:rsidP="00E94041">
      <w:pPr>
        <w:pStyle w:val="texte1"/>
      </w:pPr>
      <w:r w:rsidRPr="00E94041">
        <w:t>La présente</w:t>
      </w:r>
      <w:r w:rsidR="00C11961" w:rsidRPr="00E94041">
        <w:t xml:space="preserve"> convention est relative</w:t>
      </w:r>
      <w:r w:rsidR="003C03DE" w:rsidRPr="00E94041">
        <w:t xml:space="preserve"> à</w:t>
      </w:r>
      <w:r w:rsidR="00C11961" w:rsidRPr="00E94041">
        <w:t xml:space="preserve"> </w:t>
      </w:r>
      <w:r w:rsidR="000B4E22" w:rsidRPr="00E94041">
        <w:t>l'occupation</w:t>
      </w:r>
      <w:r w:rsidR="003D76C6" w:rsidRPr="00E94041">
        <w:t xml:space="preserve"> du domaine public</w:t>
      </w:r>
      <w:r w:rsidR="000B4E22" w:rsidRPr="00E94041">
        <w:t xml:space="preserve"> </w:t>
      </w:r>
      <w:r w:rsidR="003D76C6" w:rsidRPr="00E94041">
        <w:t>pour</w:t>
      </w:r>
      <w:r w:rsidR="000B4E22" w:rsidRPr="00E94041">
        <w:t xml:space="preserve"> l'exploitation du </w:t>
      </w:r>
      <w:r w:rsidR="00135193">
        <w:t>« Marché des Producteurs</w:t>
      </w:r>
      <w:r w:rsidR="00116D89">
        <w:t xml:space="preserve"> de Terroir</w:t>
      </w:r>
      <w:r w:rsidR="007F6E91">
        <w:t xml:space="preserve"> </w:t>
      </w:r>
      <w:r w:rsidR="00135193">
        <w:t>»</w:t>
      </w:r>
      <w:r w:rsidR="00416956" w:rsidRPr="00E94041">
        <w:t xml:space="preserve"> sur la Grand Place de la Ville de Boulogne-Billancourt</w:t>
      </w:r>
      <w:r w:rsidR="003D76C6" w:rsidRPr="00E94041">
        <w:t>.</w:t>
      </w:r>
    </w:p>
    <w:p w14:paraId="3E4BE722" w14:textId="77777777" w:rsidR="006279D8" w:rsidRPr="00D91890" w:rsidRDefault="00EA38AF" w:rsidP="00025D9C">
      <w:pPr>
        <w:pStyle w:val="Titre1"/>
      </w:pPr>
      <w:bookmarkStart w:id="5" w:name="_Toc33627553"/>
      <w:r>
        <w:t xml:space="preserve">CONDITIONS </w:t>
      </w:r>
      <w:r w:rsidR="003C03DE">
        <w:t>GÉNÉRALES</w:t>
      </w:r>
      <w:r w:rsidR="00695948">
        <w:t xml:space="preserve"> </w:t>
      </w:r>
      <w:r>
        <w:t>D’OCCUPATION DU DOMAINE PUBLIC</w:t>
      </w:r>
      <w:bookmarkEnd w:id="5"/>
    </w:p>
    <w:p w14:paraId="00EED9C0" w14:textId="77777777" w:rsidR="00CD3E2C" w:rsidRPr="003C03DE" w:rsidRDefault="00CD3E2C" w:rsidP="00721ADF">
      <w:pPr>
        <w:pStyle w:val="texte1"/>
        <w:spacing w:after="120"/>
        <w:ind w:right="0"/>
      </w:pPr>
      <w:r w:rsidRPr="003C03DE">
        <w:t xml:space="preserve">La convention sera accordée à titre personnel </w:t>
      </w:r>
      <w:r w:rsidR="004E0EE0">
        <w:t>au bénéficiaire</w:t>
      </w:r>
      <w:r w:rsidRPr="003C03DE">
        <w:t xml:space="preserve">. </w:t>
      </w:r>
    </w:p>
    <w:p w14:paraId="6624386B" w14:textId="77777777" w:rsidR="00CD3E2C" w:rsidRPr="003C03DE" w:rsidRDefault="00CD3E2C" w:rsidP="003C03DE">
      <w:pPr>
        <w:pStyle w:val="texte1"/>
      </w:pPr>
      <w:r w:rsidRPr="003C03DE">
        <w:t>Les conditions d’exécution de l’activité autorisée sont stipulées dans la présente convention, telles que définies et négociées sur la base des propositions du candidat qui aura été retenu.</w:t>
      </w:r>
    </w:p>
    <w:p w14:paraId="16955E61" w14:textId="77777777" w:rsidR="00CD3E2C" w:rsidRDefault="00CD3E2C" w:rsidP="003C03DE">
      <w:pPr>
        <w:pStyle w:val="texte1"/>
      </w:pPr>
      <w:r w:rsidRPr="003C03DE">
        <w:t>Cette convention précise les obligations réciproques des deux parties.</w:t>
      </w:r>
    </w:p>
    <w:bookmarkEnd w:id="4"/>
    <w:p w14:paraId="7B5277B1" w14:textId="77777777" w:rsidR="004D13A6" w:rsidRDefault="004E0EE0" w:rsidP="004D13A6">
      <w:pPr>
        <w:pStyle w:val="texte1"/>
      </w:pPr>
      <w:r>
        <w:lastRenderedPageBreak/>
        <w:t>Le bénéficiaire</w:t>
      </w:r>
      <w:r w:rsidR="004D13A6" w:rsidRPr="003C03DE">
        <w:t xml:space="preserve"> demeurera personnellement responsable à l’égard de la Ville de l’ensemble des obligations stipulées dans la convention. La Ville se réserver le droit de contrôler le respect de la destination du domaine public faisant l’objet de la présente convention</w:t>
      </w:r>
      <w:r w:rsidR="004D13A6">
        <w:t>.</w:t>
      </w:r>
    </w:p>
    <w:p w14:paraId="25C6B3F1" w14:textId="1AD49B57" w:rsidR="00BA4263" w:rsidRDefault="00BA4263" w:rsidP="00E94041">
      <w:pPr>
        <w:pStyle w:val="texte1"/>
      </w:pPr>
      <w:r w:rsidRPr="00E94041">
        <w:t>Conformément à l'article L2122-3 du code</w:t>
      </w:r>
      <w:r w:rsidR="00A27D65" w:rsidRPr="00E94041">
        <w:t xml:space="preserve"> général</w:t>
      </w:r>
      <w:r w:rsidRPr="00E94041">
        <w:t xml:space="preserve"> de</w:t>
      </w:r>
      <w:r w:rsidR="00A27D65" w:rsidRPr="00E94041">
        <w:t xml:space="preserve"> la</w:t>
      </w:r>
      <w:r w:rsidRPr="00E94041">
        <w:t xml:space="preserve"> propriété des personnes publiques</w:t>
      </w:r>
      <w:r w:rsidR="00A27D65" w:rsidRPr="00E94041">
        <w:t xml:space="preserve"> (CG3P), la présente convention est </w:t>
      </w:r>
      <w:r w:rsidR="00FC0E3D" w:rsidRPr="00E94041">
        <w:t>réputée de caractère précaire et</w:t>
      </w:r>
      <w:r w:rsidR="00A27D65" w:rsidRPr="00E94041">
        <w:t xml:space="preserve"> révocable sans qu'il y ait faute d</w:t>
      </w:r>
      <w:r w:rsidR="00344B10" w:rsidRPr="00E94041">
        <w:t>u bénéficiaire.</w:t>
      </w:r>
    </w:p>
    <w:p w14:paraId="52F1FB18" w14:textId="77777777" w:rsidR="00966C15" w:rsidRPr="00F85BA8" w:rsidRDefault="00966C15" w:rsidP="00025D9C">
      <w:pPr>
        <w:pStyle w:val="Titre1"/>
      </w:pPr>
      <w:bookmarkStart w:id="6" w:name="_Toc458592260"/>
      <w:bookmarkStart w:id="7" w:name="_Toc458679301"/>
      <w:bookmarkStart w:id="8" w:name="_Toc460574302"/>
      <w:bookmarkStart w:id="9" w:name="_Toc478634971"/>
      <w:bookmarkStart w:id="10" w:name="_Toc33627554"/>
      <w:r w:rsidRPr="00F85BA8">
        <w:t>Forme des notifications et informations qui font courir un délai</w:t>
      </w:r>
      <w:bookmarkEnd w:id="6"/>
      <w:bookmarkEnd w:id="7"/>
      <w:bookmarkEnd w:id="8"/>
      <w:bookmarkEnd w:id="9"/>
      <w:bookmarkEnd w:id="10"/>
    </w:p>
    <w:p w14:paraId="283A99B1" w14:textId="77777777" w:rsidR="00966C15" w:rsidRPr="00F85BA8" w:rsidRDefault="00966C15" w:rsidP="00966C15">
      <w:pPr>
        <w:pStyle w:val="texte1"/>
        <w:rPr>
          <w:iCs/>
        </w:rPr>
      </w:pPr>
      <w:r w:rsidRPr="00F85BA8">
        <w:t>Les notifications et échanges sont envoyés aux adresses indiqué</w:t>
      </w:r>
      <w:r w:rsidR="00D00EDE" w:rsidRPr="00F85BA8">
        <w:t>e</w:t>
      </w:r>
      <w:r w:rsidRPr="00F85BA8">
        <w:t>s</w:t>
      </w:r>
      <w:r w:rsidR="00D00EDE" w:rsidRPr="00F85BA8">
        <w:t xml:space="preserve"> du bénéficiaire</w:t>
      </w:r>
      <w:r w:rsidRPr="00F85BA8">
        <w:rPr>
          <w:iCs/>
        </w:rPr>
        <w:t>, soit de façon dématérialisée, soit par courrier.</w:t>
      </w:r>
    </w:p>
    <w:p w14:paraId="6B26EA33" w14:textId="6F8C0DF8" w:rsidR="00966C15" w:rsidRPr="00F85BA8" w:rsidRDefault="00C92067" w:rsidP="009C399B">
      <w:pPr>
        <w:pStyle w:val="texte2"/>
      </w:pPr>
      <w:r w:rsidRPr="00F85BA8">
        <w:t>Par</w:t>
      </w:r>
      <w:r w:rsidR="00966C15" w:rsidRPr="00F85BA8">
        <w:t xml:space="preserve"> échange dématérialisé, selon les modalités suivantes :</w:t>
      </w:r>
    </w:p>
    <w:p w14:paraId="4EF38AA2" w14:textId="77777777" w:rsidR="00966C15" w:rsidRPr="00F85BA8" w:rsidRDefault="00966C15" w:rsidP="00966C15">
      <w:pPr>
        <w:pStyle w:val="texte3"/>
      </w:pPr>
      <w:r w:rsidRPr="00F85BA8">
        <w:t xml:space="preserve">Un courriel est adressé par </w:t>
      </w:r>
      <w:r w:rsidR="00955B3C" w:rsidRPr="00F85BA8">
        <w:t>la Ville</w:t>
      </w:r>
      <w:r w:rsidRPr="00F85BA8">
        <w:t xml:space="preserve"> au </w:t>
      </w:r>
      <w:r w:rsidR="00F86D84" w:rsidRPr="00F85BA8">
        <w:t xml:space="preserve">bénéficiaire </w:t>
      </w:r>
      <w:r w:rsidRPr="00F85BA8">
        <w:t xml:space="preserve">qui devra en accuser réception par courriel dans le délai de 24 heures ouvrées. Passé ce délai, le courriel est réputé réceptionné par le </w:t>
      </w:r>
      <w:r w:rsidR="00F86D84" w:rsidRPr="00F85BA8">
        <w:t xml:space="preserve">bénéficiaire </w:t>
      </w:r>
      <w:r w:rsidRPr="00F85BA8">
        <w:t xml:space="preserve">et les différents délais commencent à courir. </w:t>
      </w:r>
    </w:p>
    <w:p w14:paraId="701A361A" w14:textId="3E34F61E" w:rsidR="00966C15" w:rsidRDefault="00C92067" w:rsidP="009C399B">
      <w:pPr>
        <w:pStyle w:val="texte2"/>
      </w:pPr>
      <w:r w:rsidRPr="00F85BA8">
        <w:t>Par</w:t>
      </w:r>
      <w:r w:rsidR="00966C15" w:rsidRPr="00F85BA8">
        <w:t xml:space="preserve"> courrier : courrier recommandé avec accusé de réception.</w:t>
      </w:r>
    </w:p>
    <w:p w14:paraId="389A67B3" w14:textId="77777777" w:rsidR="00F878BB" w:rsidRPr="001962E1" w:rsidRDefault="00480DAF" w:rsidP="00025D9C">
      <w:pPr>
        <w:pStyle w:val="Titre1"/>
      </w:pPr>
      <w:bookmarkStart w:id="11" w:name="_Toc33627555"/>
      <w:r w:rsidRPr="001962E1">
        <w:t>CONTENU DE LA PRESTATION</w:t>
      </w:r>
      <w:bookmarkEnd w:id="11"/>
    </w:p>
    <w:p w14:paraId="1689195E" w14:textId="77777777" w:rsidR="00E34E44" w:rsidRPr="00FC3C34" w:rsidRDefault="008B55FB" w:rsidP="00AD7A8F">
      <w:pPr>
        <w:pStyle w:val="Titre2"/>
        <w:tabs>
          <w:tab w:val="clear" w:pos="860"/>
          <w:tab w:val="num" w:pos="993"/>
        </w:tabs>
        <w:ind w:left="993" w:hanging="709"/>
      </w:pPr>
      <w:bookmarkStart w:id="12" w:name="_Toc33627556"/>
      <w:r w:rsidRPr="00FC3C34">
        <w:t>Prestation</w:t>
      </w:r>
      <w:r w:rsidR="00E22A54" w:rsidRPr="00FC3C34">
        <w:t>s</w:t>
      </w:r>
      <w:r w:rsidRPr="00FC3C34">
        <w:t xml:space="preserve"> demandée</w:t>
      </w:r>
      <w:r w:rsidR="00E22A54" w:rsidRPr="00FC3C34">
        <w:t>s</w:t>
      </w:r>
      <w:r w:rsidRPr="00FC3C34">
        <w:t xml:space="preserve"> au bénéficiaire</w:t>
      </w:r>
      <w:bookmarkEnd w:id="12"/>
    </w:p>
    <w:p w14:paraId="249EEEBC" w14:textId="77777777" w:rsidR="00914A1B" w:rsidRPr="00C4380C" w:rsidRDefault="001E2ED6" w:rsidP="00C4380C">
      <w:pPr>
        <w:spacing w:line="226" w:lineRule="auto"/>
        <w:ind w:left="14" w:right="14" w:firstLine="4"/>
        <w:jc w:val="both"/>
        <w:rPr>
          <w:rFonts w:eastAsia="Calibri"/>
          <w:color w:val="000000"/>
          <w:szCs w:val="24"/>
        </w:rPr>
      </w:pPr>
      <w:r w:rsidRPr="001E2ED6">
        <w:rPr>
          <w:rFonts w:eastAsia="Calibri"/>
          <w:color w:val="000000"/>
          <w:szCs w:val="24"/>
        </w:rPr>
        <w:t>Le bénéficiaire s’engage à mettre en</w:t>
      </w:r>
      <w:r w:rsidR="009D5839">
        <w:rPr>
          <w:rFonts w:eastAsia="Calibri"/>
          <w:color w:val="000000"/>
          <w:szCs w:val="24"/>
        </w:rPr>
        <w:t xml:space="preserve"> </w:t>
      </w:r>
      <w:r w:rsidRPr="001E2ED6">
        <w:rPr>
          <w:rFonts w:eastAsia="Calibri"/>
          <w:color w:val="000000"/>
          <w:szCs w:val="24"/>
        </w:rPr>
        <w:t xml:space="preserve">œuvre le </w:t>
      </w:r>
      <w:r w:rsidR="00955B3C">
        <w:rPr>
          <w:rFonts w:eastAsia="Calibri"/>
          <w:color w:val="000000"/>
          <w:szCs w:val="24"/>
        </w:rPr>
        <w:t>"</w:t>
      </w:r>
      <w:r w:rsidR="00135193">
        <w:rPr>
          <w:rFonts w:eastAsia="Calibri"/>
          <w:color w:val="000000"/>
          <w:szCs w:val="24"/>
        </w:rPr>
        <w:t xml:space="preserve">Marché des Producteurs » </w:t>
      </w:r>
      <w:r w:rsidRPr="001E2ED6">
        <w:rPr>
          <w:rFonts w:eastAsia="Calibri"/>
          <w:color w:val="000000"/>
          <w:szCs w:val="24"/>
        </w:rPr>
        <w:t>et aura à sa charge</w:t>
      </w:r>
      <w:r w:rsidR="00D00EDE">
        <w:rPr>
          <w:rFonts w:eastAsia="Calibri"/>
          <w:color w:val="000000"/>
          <w:szCs w:val="24"/>
        </w:rPr>
        <w:t xml:space="preserve"> </w:t>
      </w:r>
      <w:r w:rsidRPr="001E2ED6">
        <w:rPr>
          <w:rFonts w:eastAsia="Calibri"/>
          <w:color w:val="000000"/>
          <w:szCs w:val="24"/>
        </w:rPr>
        <w:t>:</w:t>
      </w:r>
    </w:p>
    <w:p w14:paraId="003975FF" w14:textId="77777777" w:rsidR="00E34E44" w:rsidRDefault="00E718EC" w:rsidP="005B6C28">
      <w:pPr>
        <w:pStyle w:val="Titre3"/>
      </w:pPr>
      <w:bookmarkStart w:id="13" w:name="_Toc33627557"/>
      <w:r>
        <w:t>Les</w:t>
      </w:r>
      <w:r w:rsidR="00E34E44" w:rsidRPr="00AD7A8F">
        <w:t xml:space="preserve"> </w:t>
      </w:r>
      <w:r w:rsidR="00A537BD">
        <w:t>fourniture et installation des tentes</w:t>
      </w:r>
      <w:r w:rsidR="00E34E44" w:rsidRPr="00AD7A8F">
        <w:t xml:space="preserve"> et aspects techniques :</w:t>
      </w:r>
      <w:bookmarkEnd w:id="13"/>
    </w:p>
    <w:p w14:paraId="377066FE" w14:textId="77777777" w:rsidR="00B4646C" w:rsidRPr="009C399B" w:rsidRDefault="003B03F4" w:rsidP="009C399B">
      <w:pPr>
        <w:pStyle w:val="texte2"/>
      </w:pPr>
      <w:r w:rsidRPr="009C399B">
        <w:t>Les f</w:t>
      </w:r>
      <w:r w:rsidR="00B4646C" w:rsidRPr="009C399B">
        <w:t>ourniture</w:t>
      </w:r>
      <w:r w:rsidR="00141AE8" w:rsidRPr="009C399B">
        <w:t>s</w:t>
      </w:r>
      <w:r w:rsidR="00B4646C" w:rsidRPr="009C399B">
        <w:t xml:space="preserve">, transport, montage et démontage de </w:t>
      </w:r>
      <w:r w:rsidR="00135193" w:rsidRPr="009C399B">
        <w:t>stands.</w:t>
      </w:r>
    </w:p>
    <w:p w14:paraId="6E2BF052" w14:textId="77777777" w:rsidR="00B4646C" w:rsidRPr="00E66A1D" w:rsidRDefault="00A537BD" w:rsidP="009C399B">
      <w:pPr>
        <w:pStyle w:val="texte2"/>
      </w:pPr>
      <w:r w:rsidRPr="00E66A1D">
        <w:t>Le gardiennage des stands durant le marché et la mise en œuvre des mesures de sécurité</w:t>
      </w:r>
    </w:p>
    <w:p w14:paraId="26AF5E0C" w14:textId="77777777" w:rsidR="00A537BD" w:rsidRPr="00E66A1D" w:rsidRDefault="00A537BD" w:rsidP="009C399B">
      <w:pPr>
        <w:pStyle w:val="texte2"/>
      </w:pPr>
      <w:r w:rsidRPr="00E66A1D">
        <w:t>Les relations avec les producteurs</w:t>
      </w:r>
      <w:r w:rsidR="00E34E44" w:rsidRPr="00E66A1D">
        <w:t xml:space="preserve"> sous sa responsabilité et à ses seuls risques ;</w:t>
      </w:r>
    </w:p>
    <w:p w14:paraId="30B7A756" w14:textId="77777777" w:rsidR="00E34E44" w:rsidRPr="00E66A1D" w:rsidRDefault="00A537BD" w:rsidP="009C399B">
      <w:pPr>
        <w:pStyle w:val="texte2"/>
      </w:pPr>
      <w:r w:rsidRPr="00E66A1D">
        <w:t>La prise en charge des frais de connexion pour les recharges d’électricité</w:t>
      </w:r>
    </w:p>
    <w:p w14:paraId="6F8BB37B" w14:textId="77777777" w:rsidR="00E66A1D" w:rsidRPr="00123588" w:rsidRDefault="00E66A1D" w:rsidP="009C399B">
      <w:pPr>
        <w:pStyle w:val="texte2"/>
      </w:pPr>
      <w:r w:rsidRPr="00123588">
        <w:t>La prise en charge du montage du dossier technique de la manifestation en liaison avec les différents services techniques de la Ville (réalisation du plan d’implantation, du dossier technique et du dossier de la manifestation, coordination de l’organisation ...).</w:t>
      </w:r>
    </w:p>
    <w:p w14:paraId="6547A24A" w14:textId="77777777" w:rsidR="009C399B" w:rsidRPr="00123588" w:rsidRDefault="009C399B" w:rsidP="009C399B">
      <w:pPr>
        <w:pStyle w:val="Titre3"/>
        <w:tabs>
          <w:tab w:val="clear" w:pos="720"/>
          <w:tab w:val="num" w:pos="993"/>
        </w:tabs>
        <w:ind w:left="993" w:hanging="709"/>
      </w:pPr>
      <w:bookmarkStart w:id="14" w:name="_Toc510166830"/>
      <w:bookmarkStart w:id="15" w:name="_Toc170387"/>
      <w:bookmarkStart w:id="16" w:name="_Toc33627558"/>
      <w:r w:rsidRPr="00123588">
        <w:t>La commercialisation des stands exposants :</w:t>
      </w:r>
      <w:bookmarkEnd w:id="14"/>
      <w:bookmarkEnd w:id="15"/>
      <w:bookmarkEnd w:id="16"/>
    </w:p>
    <w:p w14:paraId="0829DCEF" w14:textId="77777777" w:rsidR="009C399B" w:rsidRPr="00123588" w:rsidRDefault="009C399B" w:rsidP="009C399B">
      <w:pPr>
        <w:pStyle w:val="texte2"/>
        <w:ind w:left="709"/>
      </w:pPr>
      <w:r w:rsidRPr="00123588">
        <w:t>Assurer la commercialisation des stands sous sa responsabilité et à ses seuls risques,</w:t>
      </w:r>
    </w:p>
    <w:p w14:paraId="490D6D74" w14:textId="77777777" w:rsidR="009C399B" w:rsidRPr="00123588" w:rsidRDefault="009C399B" w:rsidP="009C399B">
      <w:pPr>
        <w:pStyle w:val="texte2"/>
        <w:ind w:left="709"/>
      </w:pPr>
      <w:r w:rsidRPr="00123588">
        <w:t>Mettre en œuvre tous les moyens nécessaires pour la recherche d’exposants,</w:t>
      </w:r>
    </w:p>
    <w:p w14:paraId="232CD090" w14:textId="77777777" w:rsidR="009C399B" w:rsidRPr="00123588" w:rsidRDefault="009C399B" w:rsidP="009C399B">
      <w:pPr>
        <w:pStyle w:val="texte2"/>
        <w:ind w:left="709"/>
      </w:pPr>
      <w:r w:rsidRPr="00123588">
        <w:t>Mettre en œuvre ses meilleurs moyens afin d’obtenir une offre cohérente, variée et complémentaire en fonction de la thématique imposée :</w:t>
      </w:r>
    </w:p>
    <w:p w14:paraId="0949DA7D" w14:textId="77777777" w:rsidR="009C399B" w:rsidRPr="00123588" w:rsidRDefault="009C399B" w:rsidP="009C399B">
      <w:pPr>
        <w:pStyle w:val="texte3"/>
      </w:pPr>
      <w:r w:rsidRPr="00123588">
        <w:t>Alimentaire à consommer sur place (dégustation gratuite ou vente),</w:t>
      </w:r>
    </w:p>
    <w:p w14:paraId="714FAD65" w14:textId="77777777" w:rsidR="009C399B" w:rsidRPr="00123588" w:rsidRDefault="009C399B" w:rsidP="009C399B">
      <w:pPr>
        <w:pStyle w:val="texte3"/>
      </w:pPr>
      <w:r w:rsidRPr="00123588">
        <w:t>Alimentaire à emporter,</w:t>
      </w:r>
    </w:p>
    <w:p w14:paraId="18BC008B" w14:textId="77777777" w:rsidR="009C399B" w:rsidRPr="00123588" w:rsidRDefault="009C399B" w:rsidP="009C399B">
      <w:pPr>
        <w:pStyle w:val="texte3"/>
      </w:pPr>
      <w:r w:rsidRPr="00123588">
        <w:t>Produits artisanaux non alimentaires,</w:t>
      </w:r>
    </w:p>
    <w:p w14:paraId="7F6D89EB" w14:textId="77777777" w:rsidR="009C399B" w:rsidRPr="00123588" w:rsidRDefault="009C399B" w:rsidP="009C399B">
      <w:pPr>
        <w:pStyle w:val="texte2"/>
        <w:ind w:left="709"/>
      </w:pPr>
      <w:r w:rsidRPr="00123588">
        <w:t>Mise en œuvre de la communication (affiches, tracts, réseaux sociaux…).</w:t>
      </w:r>
    </w:p>
    <w:p w14:paraId="2850E9C5" w14:textId="77777777" w:rsidR="009C399B" w:rsidRPr="00123588" w:rsidRDefault="009C399B" w:rsidP="009C399B">
      <w:pPr>
        <w:pStyle w:val="Titre3"/>
        <w:tabs>
          <w:tab w:val="clear" w:pos="720"/>
          <w:tab w:val="num" w:pos="993"/>
        </w:tabs>
        <w:ind w:left="993" w:hanging="709"/>
      </w:pPr>
      <w:bookmarkStart w:id="17" w:name="_Toc510166831"/>
      <w:bookmarkStart w:id="18" w:name="_Toc170388"/>
      <w:bookmarkStart w:id="19" w:name="_Toc33627559"/>
      <w:r w:rsidRPr="00123588">
        <w:t>Seront autorisés à la vente :</w:t>
      </w:r>
      <w:bookmarkEnd w:id="17"/>
      <w:bookmarkEnd w:id="18"/>
      <w:bookmarkEnd w:id="19"/>
      <w:r w:rsidRPr="00123588">
        <w:t xml:space="preserve"> </w:t>
      </w:r>
    </w:p>
    <w:p w14:paraId="4324E589" w14:textId="77777777" w:rsidR="009C399B" w:rsidRPr="00123588" w:rsidRDefault="009C399B" w:rsidP="009C399B">
      <w:pPr>
        <w:pStyle w:val="texte1"/>
        <w:rPr>
          <w:rFonts w:eastAsia="Calibri"/>
        </w:rPr>
      </w:pPr>
      <w:r w:rsidRPr="00123588">
        <w:rPr>
          <w:rFonts w:eastAsia="Calibri"/>
        </w:rPr>
        <w:t>Seront autorisés à la vente tout produit régional de terroir, alimentaire ou non, produit en France métropolitaine et ultra-marine. Il devra veiller à ce que les produits exposés ne contreviennent pas à l’ordre public.</w:t>
      </w:r>
    </w:p>
    <w:p w14:paraId="319F05B6" w14:textId="196D5DBC" w:rsidR="00E34E44" w:rsidRDefault="00F330C9" w:rsidP="00DD618D">
      <w:pPr>
        <w:pStyle w:val="Titre3"/>
        <w:tabs>
          <w:tab w:val="clear" w:pos="720"/>
          <w:tab w:val="num" w:pos="993"/>
        </w:tabs>
        <w:ind w:left="993" w:hanging="709"/>
      </w:pPr>
      <w:bookmarkStart w:id="20" w:name="_Toc33627560"/>
      <w:r>
        <w:lastRenderedPageBreak/>
        <w:t>La g</w:t>
      </w:r>
      <w:r w:rsidR="00812236">
        <w:t>estion de l’</w:t>
      </w:r>
      <w:r w:rsidR="00014E15">
        <w:t>é</w:t>
      </w:r>
      <w:r w:rsidR="00014E15" w:rsidRPr="00E34E44">
        <w:t>vénement</w:t>
      </w:r>
      <w:r w:rsidR="00E34E44" w:rsidRPr="00E34E44">
        <w:t> :</w:t>
      </w:r>
      <w:bookmarkEnd w:id="20"/>
    </w:p>
    <w:p w14:paraId="3CAAECD6" w14:textId="1E42C2CD" w:rsidR="00302BD5" w:rsidRDefault="00302BD5" w:rsidP="009C399B">
      <w:pPr>
        <w:pStyle w:val="texte2"/>
      </w:pPr>
      <w:r>
        <w:t>L’ensemble des stands présents devront être tenus</w:t>
      </w:r>
      <w:r w:rsidR="00014E15" w:rsidRPr="00014E15">
        <w:rPr>
          <w:u w:val="single"/>
        </w:rPr>
        <w:t xml:space="preserve"> </w:t>
      </w:r>
      <w:r w:rsidR="00014E15" w:rsidRPr="00123588">
        <w:rPr>
          <w:u w:val="single"/>
        </w:rPr>
        <w:t>exclusivement</w:t>
      </w:r>
      <w:r w:rsidRPr="00014E15">
        <w:rPr>
          <w:color w:val="FF0000"/>
        </w:rPr>
        <w:t xml:space="preserve"> </w:t>
      </w:r>
      <w:r>
        <w:t xml:space="preserve">par </w:t>
      </w:r>
      <w:r w:rsidR="00A94FBF">
        <w:t>des producteurs (</w:t>
      </w:r>
      <w:r w:rsidR="000011CD">
        <w:t>pas de revendeurs).</w:t>
      </w:r>
    </w:p>
    <w:p w14:paraId="044C9FCB" w14:textId="77777777" w:rsidR="000011CD" w:rsidRDefault="000011CD" w:rsidP="009C399B">
      <w:pPr>
        <w:pStyle w:val="texte2"/>
      </w:pPr>
      <w:r w:rsidRPr="007C6270">
        <w:t>Être l'interlocuteur unique des services de la Ville</w:t>
      </w:r>
    </w:p>
    <w:p w14:paraId="0A9ADE41" w14:textId="77777777" w:rsidR="00997648" w:rsidRPr="00E34E44" w:rsidRDefault="00997648" w:rsidP="009C399B">
      <w:pPr>
        <w:pStyle w:val="texte2"/>
      </w:pPr>
      <w:r w:rsidRPr="00E34E44">
        <w:t>Être l’interlocuteur unique des exposants et prendre tous les moyens nécessaires pour porter à leur connaissance et leur faire respecter les règles applicables en matière d’hygiène et de sécurité publiques ;</w:t>
      </w:r>
    </w:p>
    <w:p w14:paraId="724D1D3B" w14:textId="77777777" w:rsidR="00E34E44" w:rsidRPr="00E34E44" w:rsidRDefault="00E34E44" w:rsidP="009C399B">
      <w:pPr>
        <w:pStyle w:val="texte2"/>
      </w:pPr>
      <w:r w:rsidRPr="00E34E44">
        <w:t xml:space="preserve">Assurer </w:t>
      </w:r>
      <w:r w:rsidR="00976395">
        <w:t xml:space="preserve">l’accueil et la sécurité </w:t>
      </w:r>
      <w:r w:rsidRPr="00E34E44">
        <w:t>des ex</w:t>
      </w:r>
      <w:r w:rsidR="00976395">
        <w:t>posants lors de l’installation,</w:t>
      </w:r>
    </w:p>
    <w:p w14:paraId="1367546D" w14:textId="77777777" w:rsidR="00976395" w:rsidRDefault="00302BD5" w:rsidP="009C399B">
      <w:pPr>
        <w:pStyle w:val="texte2"/>
      </w:pPr>
      <w:r>
        <w:t xml:space="preserve">Veiller au </w:t>
      </w:r>
      <w:r w:rsidR="00976395">
        <w:t xml:space="preserve">respect des horaires et des jours d’ouverture par les exposants. </w:t>
      </w:r>
    </w:p>
    <w:p w14:paraId="761F57AC" w14:textId="77777777" w:rsidR="00A537BD" w:rsidRDefault="00A537BD" w:rsidP="00A537BD">
      <w:pPr>
        <w:pStyle w:val="Titre3"/>
        <w:tabs>
          <w:tab w:val="clear" w:pos="720"/>
          <w:tab w:val="num" w:pos="993"/>
        </w:tabs>
        <w:ind w:left="993" w:hanging="709"/>
      </w:pPr>
      <w:bookmarkStart w:id="21" w:name="_Toc33627561"/>
      <w:r>
        <w:t>Les animations</w:t>
      </w:r>
      <w:bookmarkEnd w:id="21"/>
      <w:r>
        <w:t xml:space="preserve"> </w:t>
      </w:r>
    </w:p>
    <w:p w14:paraId="2B7365E2" w14:textId="77777777" w:rsidR="00A537BD" w:rsidRDefault="00A537BD" w:rsidP="009C399B">
      <w:pPr>
        <w:pStyle w:val="texte2"/>
      </w:pPr>
      <w:r w:rsidRPr="007C6270">
        <w:t>Être l'interlocuteur unique des services de la Ville</w:t>
      </w:r>
    </w:p>
    <w:p w14:paraId="05186772" w14:textId="227C99EE" w:rsidR="00116D89" w:rsidRDefault="00116D89" w:rsidP="009C399B">
      <w:pPr>
        <w:pStyle w:val="texte2"/>
      </w:pPr>
      <w:r>
        <w:t>Proposer l’organisation des deux animations les samedis et dimanches de 14</w:t>
      </w:r>
      <w:r w:rsidR="00814735">
        <w:t xml:space="preserve"> </w:t>
      </w:r>
      <w:r>
        <w:t>h à 17</w:t>
      </w:r>
      <w:r w:rsidR="00814735">
        <w:t xml:space="preserve"> </w:t>
      </w:r>
      <w:r>
        <w:t>h</w:t>
      </w:r>
    </w:p>
    <w:p w14:paraId="3EC79949" w14:textId="553324DE" w:rsidR="00A537BD" w:rsidRPr="00814735" w:rsidRDefault="00A537BD" w:rsidP="00D1349B">
      <w:pPr>
        <w:pStyle w:val="texte2"/>
        <w:numPr>
          <w:ilvl w:val="0"/>
          <w:numId w:val="0"/>
        </w:numPr>
        <w:ind w:left="993"/>
        <w:rPr>
          <w:highlight w:val="yellow"/>
        </w:rPr>
      </w:pPr>
    </w:p>
    <w:p w14:paraId="6E852C0A" w14:textId="77777777" w:rsidR="006805DB" w:rsidRPr="00123588" w:rsidRDefault="006805DB" w:rsidP="006805DB">
      <w:pPr>
        <w:pStyle w:val="Titre3"/>
        <w:tabs>
          <w:tab w:val="clear" w:pos="720"/>
          <w:tab w:val="num" w:pos="993"/>
        </w:tabs>
        <w:ind w:left="993" w:hanging="709"/>
      </w:pPr>
      <w:bookmarkStart w:id="22" w:name="_Toc510166833"/>
      <w:bookmarkStart w:id="23" w:name="_Toc170391"/>
      <w:bookmarkStart w:id="24" w:name="_Toc33627562"/>
      <w:r w:rsidRPr="00123588">
        <w:t>Le budget</w:t>
      </w:r>
      <w:bookmarkEnd w:id="22"/>
      <w:bookmarkEnd w:id="23"/>
      <w:bookmarkEnd w:id="24"/>
      <w:r w:rsidRPr="00123588">
        <w:t xml:space="preserve"> </w:t>
      </w:r>
    </w:p>
    <w:p w14:paraId="05F76BE1" w14:textId="77777777" w:rsidR="006805DB" w:rsidRPr="00123588" w:rsidRDefault="006805DB" w:rsidP="006805DB">
      <w:pPr>
        <w:pStyle w:val="texte1"/>
        <w:rPr>
          <w:rFonts w:eastAsia="Calibri"/>
          <w:b/>
        </w:rPr>
      </w:pPr>
      <w:r w:rsidRPr="00123588">
        <w:rPr>
          <w:rFonts w:eastAsia="Calibri"/>
          <w:b/>
        </w:rPr>
        <w:t>Le bénéficiaire :</w:t>
      </w:r>
    </w:p>
    <w:p w14:paraId="7FF24E1B" w14:textId="77777777" w:rsidR="006805DB" w:rsidRPr="00123588" w:rsidRDefault="006805DB" w:rsidP="006805DB">
      <w:pPr>
        <w:pStyle w:val="texte2"/>
      </w:pPr>
      <w:r w:rsidRPr="00123588">
        <w:t>Paiement de la redevance d’occupation du domaine public</w:t>
      </w:r>
    </w:p>
    <w:p w14:paraId="0DAB6AEE" w14:textId="77777777" w:rsidR="006805DB" w:rsidRPr="00123588" w:rsidRDefault="006805DB" w:rsidP="006805DB">
      <w:pPr>
        <w:pStyle w:val="texte2"/>
      </w:pPr>
      <w:r w:rsidRPr="00123588">
        <w:t>Fourniture des stands</w:t>
      </w:r>
    </w:p>
    <w:p w14:paraId="0431EF87" w14:textId="77777777" w:rsidR="006805DB" w:rsidRPr="00123588" w:rsidRDefault="006805DB" w:rsidP="006805DB">
      <w:pPr>
        <w:pStyle w:val="texte2"/>
      </w:pPr>
      <w:r w:rsidRPr="00123588">
        <w:t>Transport, montage et démontage des stands</w:t>
      </w:r>
    </w:p>
    <w:p w14:paraId="0ABEB0F7" w14:textId="77777777" w:rsidR="006805DB" w:rsidRPr="00123588" w:rsidRDefault="006805DB" w:rsidP="006805DB">
      <w:pPr>
        <w:pStyle w:val="texte2"/>
      </w:pPr>
      <w:r w:rsidRPr="00123588">
        <w:t>Décoration</w:t>
      </w:r>
    </w:p>
    <w:p w14:paraId="50979992" w14:textId="77777777" w:rsidR="006805DB" w:rsidRPr="00123588" w:rsidRDefault="006805DB" w:rsidP="006805DB">
      <w:pPr>
        <w:pStyle w:val="texte2"/>
      </w:pPr>
      <w:r w:rsidRPr="00123588">
        <w:t>Régie</w:t>
      </w:r>
    </w:p>
    <w:p w14:paraId="62EB4576" w14:textId="77777777" w:rsidR="006805DB" w:rsidRPr="00123588" w:rsidRDefault="006805DB" w:rsidP="006805DB">
      <w:pPr>
        <w:pStyle w:val="texte2"/>
      </w:pPr>
      <w:r w:rsidRPr="00123588">
        <w:t>Assurances</w:t>
      </w:r>
    </w:p>
    <w:p w14:paraId="76D4AE62" w14:textId="77777777" w:rsidR="006805DB" w:rsidRPr="00123588" w:rsidRDefault="006805DB" w:rsidP="006805DB">
      <w:pPr>
        <w:pStyle w:val="texte2"/>
      </w:pPr>
      <w:r w:rsidRPr="00123588">
        <w:t>Prestataires</w:t>
      </w:r>
    </w:p>
    <w:p w14:paraId="5832E2BB" w14:textId="3D628142" w:rsidR="006805DB" w:rsidRPr="00123588" w:rsidRDefault="006805DB" w:rsidP="006805DB">
      <w:pPr>
        <w:pStyle w:val="texte1"/>
      </w:pPr>
      <w:r w:rsidRPr="00123588">
        <w:rPr>
          <w:rFonts w:eastAsia="Calibri"/>
        </w:rPr>
        <w:t>Cette liste n’est pas exhaustive</w:t>
      </w:r>
      <w:r w:rsidR="00EA2604">
        <w:t>.</w:t>
      </w:r>
    </w:p>
    <w:p w14:paraId="0A504C41" w14:textId="77777777" w:rsidR="00E22A54" w:rsidRPr="0025270F" w:rsidRDefault="00E22A54" w:rsidP="003F564A">
      <w:pPr>
        <w:pStyle w:val="texte1"/>
        <w:rPr>
          <w:b/>
        </w:rPr>
      </w:pPr>
      <w:r w:rsidRPr="0025270F">
        <w:rPr>
          <w:b/>
        </w:rPr>
        <w:t>Dépenses prises en charge par la Ville</w:t>
      </w:r>
      <w:r w:rsidR="00116D89" w:rsidRPr="0025270F">
        <w:rPr>
          <w:b/>
        </w:rPr>
        <w:t xml:space="preserve"> : </w:t>
      </w:r>
    </w:p>
    <w:p w14:paraId="740F14B0" w14:textId="07F0C009" w:rsidR="00E545E4" w:rsidRPr="00E408AF" w:rsidRDefault="000B3CE6" w:rsidP="009C399B">
      <w:pPr>
        <w:pStyle w:val="texte2"/>
      </w:pPr>
      <w:r w:rsidRPr="00E545E4">
        <w:t>La</w:t>
      </w:r>
      <w:r w:rsidR="00E22A54" w:rsidRPr="00E545E4">
        <w:t xml:space="preserve"> gestion des déchets provenant de l’exploitation et de l’ouverture au public du marché, </w:t>
      </w:r>
    </w:p>
    <w:p w14:paraId="0199A5B8" w14:textId="05FC4B87" w:rsidR="00E545E4" w:rsidRDefault="000B3CE6" w:rsidP="009C399B">
      <w:pPr>
        <w:pStyle w:val="texte2"/>
      </w:pPr>
      <w:r>
        <w:t>La</w:t>
      </w:r>
      <w:r w:rsidR="00116D89">
        <w:t xml:space="preserve"> fourniture des barrières de sécurité</w:t>
      </w:r>
    </w:p>
    <w:p w14:paraId="7E772808" w14:textId="11BDEFDA" w:rsidR="00116D89" w:rsidRDefault="000B3CE6" w:rsidP="009C399B">
      <w:pPr>
        <w:pStyle w:val="texte2"/>
      </w:pPr>
      <w:r>
        <w:t>Le</w:t>
      </w:r>
      <w:r w:rsidR="00116D89">
        <w:t xml:space="preserve"> stationnement des véhicules</w:t>
      </w:r>
    </w:p>
    <w:p w14:paraId="3C47B0D8" w14:textId="7776F8C3" w:rsidR="00116D89" w:rsidRDefault="000B3CE6" w:rsidP="009C399B">
      <w:pPr>
        <w:pStyle w:val="texte2"/>
      </w:pPr>
      <w:r w:rsidRPr="00E545E4">
        <w:t>Le</w:t>
      </w:r>
      <w:r w:rsidR="00E22A54" w:rsidRPr="00E545E4">
        <w:t xml:space="preserve"> nettoyage de la zone en période d</w:t>
      </w:r>
      <w:r w:rsidR="00E545E4">
        <w:t>’exploitation</w:t>
      </w:r>
      <w:r w:rsidR="00217790">
        <w:t>,</w:t>
      </w:r>
    </w:p>
    <w:p w14:paraId="34756544" w14:textId="072FDF73" w:rsidR="0093325E" w:rsidRPr="00E545E4" w:rsidRDefault="000B3CE6" w:rsidP="00EA2604">
      <w:pPr>
        <w:pStyle w:val="texte2"/>
      </w:pPr>
      <w:r>
        <w:t>L’accès</w:t>
      </w:r>
      <w:r w:rsidR="00116D89">
        <w:t xml:space="preserve"> à un point d’eau</w:t>
      </w:r>
      <w:r w:rsidR="00E545E4">
        <w:t xml:space="preserve"> </w:t>
      </w:r>
    </w:p>
    <w:p w14:paraId="433A22EC" w14:textId="77777777" w:rsidR="002521CE" w:rsidRDefault="00B641CD" w:rsidP="00025D9C">
      <w:pPr>
        <w:pStyle w:val="Titre1"/>
      </w:pPr>
      <w:bookmarkStart w:id="25" w:name="_Toc33627563"/>
      <w:r>
        <w:t>DUR</w:t>
      </w:r>
      <w:r w:rsidR="00834919">
        <w:t>É</w:t>
      </w:r>
      <w:r>
        <w:t>E</w:t>
      </w:r>
      <w:r w:rsidR="00F330C9">
        <w:t xml:space="preserve"> - délais</w:t>
      </w:r>
      <w:r>
        <w:t xml:space="preserve"> DE LA CONVENTION</w:t>
      </w:r>
      <w:bookmarkEnd w:id="25"/>
    </w:p>
    <w:p w14:paraId="285A8A88" w14:textId="77777777" w:rsidR="00F878BB" w:rsidRDefault="00F878BB" w:rsidP="00FC3C34">
      <w:pPr>
        <w:pStyle w:val="Titre2"/>
      </w:pPr>
      <w:bookmarkStart w:id="26" w:name="_Toc33627564"/>
      <w:r>
        <w:t>Durée</w:t>
      </w:r>
      <w:bookmarkEnd w:id="26"/>
    </w:p>
    <w:p w14:paraId="3481523B" w14:textId="0335DD6F" w:rsidR="00F85BA8" w:rsidRDefault="0068678C" w:rsidP="00BC51FE">
      <w:pPr>
        <w:pStyle w:val="texte1"/>
      </w:pPr>
      <w:r w:rsidRPr="0068678C">
        <w:t>L</w:t>
      </w:r>
      <w:r w:rsidR="00553F3D">
        <w:t xml:space="preserve">a présente convention </w:t>
      </w:r>
      <w:r w:rsidRPr="0068678C">
        <w:t>est conclu</w:t>
      </w:r>
      <w:r w:rsidR="00553F3D">
        <w:t>e</w:t>
      </w:r>
      <w:r w:rsidRPr="0068678C">
        <w:t xml:space="preserve"> </w:t>
      </w:r>
      <w:r w:rsidR="00A537BD">
        <w:t xml:space="preserve">pour la durée du </w:t>
      </w:r>
      <w:r w:rsidR="0025270F">
        <w:t>m</w:t>
      </w:r>
      <w:r w:rsidR="00A537BD">
        <w:t xml:space="preserve">arché soit du vendredi </w:t>
      </w:r>
      <w:r w:rsidR="003F7126">
        <w:t>6</w:t>
      </w:r>
      <w:r w:rsidR="00926958">
        <w:t xml:space="preserve"> </w:t>
      </w:r>
      <w:r w:rsidR="00A537BD">
        <w:t>octobre</w:t>
      </w:r>
      <w:r w:rsidR="00116D89">
        <w:t xml:space="preserve"> (</w:t>
      </w:r>
      <w:r w:rsidR="0025270F">
        <w:t>installation)</w:t>
      </w:r>
      <w:r w:rsidR="00A537BD">
        <w:t xml:space="preserve"> au dimanche </w:t>
      </w:r>
      <w:r w:rsidR="003F7126">
        <w:t>8</w:t>
      </w:r>
      <w:r w:rsidR="00A537BD">
        <w:t xml:space="preserve"> octobre </w:t>
      </w:r>
      <w:r w:rsidR="00926958">
        <w:t>202</w:t>
      </w:r>
      <w:r w:rsidR="003F7126">
        <w:t>3</w:t>
      </w:r>
      <w:r w:rsidR="00F64BA9">
        <w:t>.</w:t>
      </w:r>
    </w:p>
    <w:p w14:paraId="68C01851" w14:textId="77777777" w:rsidR="007F186F" w:rsidRPr="00B62FA9" w:rsidRDefault="007F186F" w:rsidP="007F186F">
      <w:pPr>
        <w:pStyle w:val="Titre2"/>
        <w:numPr>
          <w:ilvl w:val="1"/>
          <w:numId w:val="28"/>
        </w:numPr>
      </w:pPr>
      <w:bookmarkStart w:id="27" w:name="_Toc510166837"/>
      <w:bookmarkStart w:id="28" w:name="_Toc170394"/>
      <w:bookmarkStart w:id="29" w:name="_Toc33627565"/>
      <w:r w:rsidRPr="00123588">
        <w:t>Délais</w:t>
      </w:r>
      <w:bookmarkEnd w:id="27"/>
      <w:bookmarkEnd w:id="28"/>
      <w:bookmarkEnd w:id="29"/>
    </w:p>
    <w:p w14:paraId="665EA026" w14:textId="77777777" w:rsidR="00D40819" w:rsidRPr="00B62FA9" w:rsidRDefault="00D40819" w:rsidP="00D40819">
      <w:pPr>
        <w:pStyle w:val="Titre3"/>
      </w:pPr>
      <w:bookmarkStart w:id="30" w:name="_Toc510166838"/>
      <w:bookmarkStart w:id="31" w:name="_Toc170395"/>
      <w:bookmarkStart w:id="32" w:name="_Toc33627566"/>
      <w:r w:rsidRPr="00B62FA9">
        <w:t>Finalisation du projet</w:t>
      </w:r>
      <w:bookmarkEnd w:id="30"/>
      <w:bookmarkEnd w:id="31"/>
      <w:bookmarkEnd w:id="32"/>
    </w:p>
    <w:p w14:paraId="5732CCC3" w14:textId="41EECE28" w:rsidR="00D40819" w:rsidRPr="00B62FA9" w:rsidRDefault="00D40819" w:rsidP="00D40819">
      <w:pPr>
        <w:pStyle w:val="texte1"/>
      </w:pPr>
      <w:r w:rsidRPr="00B62FA9">
        <w:t xml:space="preserve">La finalisation du projet devra être présentée au plus tard le </w:t>
      </w:r>
      <w:r w:rsidR="00687547" w:rsidRPr="00B62FA9">
        <w:rPr>
          <w:rFonts w:ascii="Times New Roman" w:hAnsi="Times New Roman"/>
        </w:rPr>
        <w:t>10</w:t>
      </w:r>
      <w:r w:rsidR="00123588" w:rsidRPr="00B62FA9">
        <w:rPr>
          <w:rFonts w:ascii="Times New Roman" w:hAnsi="Times New Roman"/>
        </w:rPr>
        <w:t xml:space="preserve"> septembre </w:t>
      </w:r>
      <w:r w:rsidR="00926958">
        <w:rPr>
          <w:rFonts w:ascii="Times New Roman" w:hAnsi="Times New Roman"/>
        </w:rPr>
        <w:t>202</w:t>
      </w:r>
      <w:r w:rsidR="003F7126">
        <w:rPr>
          <w:rFonts w:ascii="Times New Roman" w:hAnsi="Times New Roman"/>
        </w:rPr>
        <w:t>3</w:t>
      </w:r>
      <w:r w:rsidRPr="00B62FA9">
        <w:t>. À défaut, des pénalités pourront être appliquées.</w:t>
      </w:r>
    </w:p>
    <w:p w14:paraId="0BD0786A" w14:textId="77777777" w:rsidR="0025253B" w:rsidRPr="00116D89" w:rsidRDefault="0025253B" w:rsidP="00D40819">
      <w:pPr>
        <w:pStyle w:val="Titre3"/>
      </w:pPr>
      <w:bookmarkStart w:id="33" w:name="_Toc33627567"/>
      <w:r w:rsidRPr="0025253B">
        <w:t>État des lieux</w:t>
      </w:r>
      <w:bookmarkEnd w:id="33"/>
    </w:p>
    <w:p w14:paraId="57A83806" w14:textId="77777777" w:rsidR="0025253B" w:rsidRPr="00B33D85" w:rsidRDefault="0025253B" w:rsidP="00B33D85">
      <w:pPr>
        <w:pStyle w:val="texte1"/>
      </w:pPr>
      <w:bookmarkStart w:id="34" w:name="_Toc262199421"/>
      <w:r w:rsidRPr="00E408AF">
        <w:t xml:space="preserve">Il est précisé que des états </w:t>
      </w:r>
      <w:proofErr w:type="gramStart"/>
      <w:r w:rsidRPr="00E408AF">
        <w:t>des lieux entrant</w:t>
      </w:r>
      <w:proofErr w:type="gramEnd"/>
      <w:r w:rsidRPr="00E408AF">
        <w:t xml:space="preserve"> et sortant des zones occupées par le </w:t>
      </w:r>
      <w:r w:rsidR="00BB6C0D">
        <w:t>bénéficiaire</w:t>
      </w:r>
      <w:r w:rsidRPr="00E408AF">
        <w:t xml:space="preserve"> dans le </w:t>
      </w:r>
      <w:r w:rsidRPr="00B33D85">
        <w:t>cadre de l’organisation du</w:t>
      </w:r>
      <w:r w:rsidR="00B5241A" w:rsidRPr="00B33D85">
        <w:t xml:space="preserve"> marché </w:t>
      </w:r>
      <w:r w:rsidR="00116D89">
        <w:t>seront réalisés.</w:t>
      </w:r>
    </w:p>
    <w:p w14:paraId="1049B67D" w14:textId="77777777" w:rsidR="00AB209B" w:rsidRPr="00EF4B76" w:rsidRDefault="00AB209B" w:rsidP="00AB209B">
      <w:pPr>
        <w:pStyle w:val="Titre3"/>
      </w:pPr>
      <w:bookmarkStart w:id="35" w:name="_Toc510166839"/>
      <w:bookmarkStart w:id="36" w:name="_Toc170397"/>
      <w:bookmarkStart w:id="37" w:name="_Toc33627568"/>
      <w:bookmarkEnd w:id="34"/>
      <w:r w:rsidRPr="00EF4B76">
        <w:lastRenderedPageBreak/>
        <w:t xml:space="preserve">Période du "Marché </w:t>
      </w:r>
      <w:r w:rsidRPr="00EF4B76">
        <w:rPr>
          <w:szCs w:val="24"/>
        </w:rPr>
        <w:t>des Producteurs de Terroirs</w:t>
      </w:r>
      <w:r w:rsidRPr="00EF4B76">
        <w:t xml:space="preserve"> "</w:t>
      </w:r>
      <w:bookmarkEnd w:id="35"/>
      <w:bookmarkEnd w:id="36"/>
      <w:bookmarkEnd w:id="37"/>
    </w:p>
    <w:p w14:paraId="76EA9640" w14:textId="2EB52EAB" w:rsidR="00AB209B" w:rsidRPr="00EF4B76" w:rsidRDefault="00AB209B" w:rsidP="00AB209B">
      <w:pPr>
        <w:pStyle w:val="texte1"/>
      </w:pPr>
      <w:r w:rsidRPr="00EF4B76">
        <w:t>Les dates prévisionnelles du "Marché</w:t>
      </w:r>
      <w:r w:rsidRPr="00EF4B76">
        <w:rPr>
          <w:rFonts w:eastAsia="Calibri"/>
          <w:szCs w:val="24"/>
        </w:rPr>
        <w:t xml:space="preserve"> des Producteurs de Terroirs</w:t>
      </w:r>
      <w:r w:rsidR="00926958">
        <w:t xml:space="preserve"> " sont fixées du vendredi </w:t>
      </w:r>
      <w:r w:rsidR="003F7126">
        <w:t>6</w:t>
      </w:r>
      <w:r w:rsidR="00926958">
        <w:t xml:space="preserve"> octobre 202</w:t>
      </w:r>
      <w:r w:rsidR="003F7126">
        <w:t>3</w:t>
      </w:r>
      <w:r w:rsidRPr="00EF4B76">
        <w:t xml:space="preserve"> à </w:t>
      </w:r>
      <w:r w:rsidRPr="00EF4B76">
        <w:rPr>
          <w:rFonts w:ascii="Times New Roman" w:hAnsi="Times New Roman"/>
        </w:rPr>
        <w:t>11</w:t>
      </w:r>
      <w:r w:rsidR="00D5242A">
        <w:rPr>
          <w:rFonts w:ascii="Times New Roman" w:hAnsi="Times New Roman"/>
        </w:rPr>
        <w:t xml:space="preserve"> h</w:t>
      </w:r>
      <w:r w:rsidRPr="00EF4B76">
        <w:t xml:space="preserve"> au dimanche </w:t>
      </w:r>
      <w:r w:rsidR="003F7126">
        <w:t>8</w:t>
      </w:r>
      <w:r w:rsidRPr="00EF4B76">
        <w:t xml:space="preserve"> octobre 20</w:t>
      </w:r>
      <w:r w:rsidR="00926958">
        <w:t>2</w:t>
      </w:r>
      <w:r w:rsidR="003F7126">
        <w:t>3</w:t>
      </w:r>
      <w:r w:rsidRPr="00EF4B76">
        <w:t xml:space="preserve"> à </w:t>
      </w:r>
      <w:r w:rsidRPr="00EF4B76">
        <w:rPr>
          <w:rFonts w:ascii="Times New Roman" w:hAnsi="Times New Roman"/>
        </w:rPr>
        <w:t>1</w:t>
      </w:r>
      <w:r w:rsidR="00123588">
        <w:rPr>
          <w:rFonts w:ascii="Times New Roman" w:hAnsi="Times New Roman"/>
        </w:rPr>
        <w:t>8</w:t>
      </w:r>
      <w:r w:rsidR="00D5242A">
        <w:rPr>
          <w:rFonts w:ascii="Times New Roman" w:hAnsi="Times New Roman"/>
        </w:rPr>
        <w:t xml:space="preserve"> h.</w:t>
      </w:r>
    </w:p>
    <w:p w14:paraId="209301F9" w14:textId="77777777" w:rsidR="00AB209B" w:rsidRPr="00EF4B76" w:rsidRDefault="00AB209B" w:rsidP="00AB209B">
      <w:pPr>
        <w:pStyle w:val="texte1"/>
      </w:pPr>
      <w:r w:rsidRPr="00EF4B76">
        <w:t>L’occupation des stands par les exposants sera autorisée pendant la même période.</w:t>
      </w:r>
    </w:p>
    <w:p w14:paraId="1E620056" w14:textId="0B9657B9" w:rsidR="00123588" w:rsidRDefault="00AB209B" w:rsidP="00AB209B">
      <w:pPr>
        <w:pStyle w:val="texte1"/>
      </w:pPr>
      <w:r w:rsidRPr="00EF4B76">
        <w:t xml:space="preserve">Le montage des stands sera autorisé à compter du </w:t>
      </w:r>
      <w:r w:rsidR="00123588">
        <w:rPr>
          <w:rFonts w:ascii="Times New Roman" w:hAnsi="Times New Roman"/>
        </w:rPr>
        <w:t xml:space="preserve">vendredi </w:t>
      </w:r>
      <w:r w:rsidR="003F7126">
        <w:rPr>
          <w:rFonts w:ascii="Times New Roman" w:hAnsi="Times New Roman"/>
        </w:rPr>
        <w:t>6</w:t>
      </w:r>
      <w:r w:rsidR="00EF4B76">
        <w:rPr>
          <w:rFonts w:ascii="Times New Roman" w:hAnsi="Times New Roman"/>
        </w:rPr>
        <w:t xml:space="preserve"> </w:t>
      </w:r>
      <w:r w:rsidRPr="00EF4B76">
        <w:rPr>
          <w:rFonts w:ascii="Times New Roman" w:hAnsi="Times New Roman"/>
        </w:rPr>
        <w:t>octobre</w:t>
      </w:r>
      <w:r w:rsidRPr="00EF4B76">
        <w:t xml:space="preserve"> 20</w:t>
      </w:r>
      <w:r w:rsidR="00926958">
        <w:t>2</w:t>
      </w:r>
      <w:r w:rsidR="003F7126">
        <w:t>3</w:t>
      </w:r>
      <w:r w:rsidR="003654C7">
        <w:t xml:space="preserve"> à partir de 8</w:t>
      </w:r>
      <w:r w:rsidR="000B3CE6">
        <w:t xml:space="preserve"> </w:t>
      </w:r>
      <w:r w:rsidR="003654C7">
        <w:t>h.</w:t>
      </w:r>
    </w:p>
    <w:p w14:paraId="42BF7683" w14:textId="73E8E063" w:rsidR="00AB209B" w:rsidRPr="00EF4B76" w:rsidRDefault="00AB209B" w:rsidP="00AB209B">
      <w:pPr>
        <w:pStyle w:val="texte1"/>
      </w:pPr>
      <w:r w:rsidRPr="00EF4B76">
        <w:t xml:space="preserve">Le démontage devra s’effectuer à partir du </w:t>
      </w:r>
      <w:r w:rsidRPr="00EF4B76">
        <w:rPr>
          <w:rFonts w:ascii="Times New Roman" w:hAnsi="Times New Roman"/>
        </w:rPr>
        <w:t xml:space="preserve">dimanche </w:t>
      </w:r>
      <w:r w:rsidR="003F7126">
        <w:rPr>
          <w:rFonts w:ascii="Times New Roman" w:hAnsi="Times New Roman"/>
        </w:rPr>
        <w:t>8</w:t>
      </w:r>
      <w:r w:rsidRPr="00EF4B76">
        <w:rPr>
          <w:rFonts w:ascii="Times New Roman" w:hAnsi="Times New Roman"/>
        </w:rPr>
        <w:t xml:space="preserve"> octobre</w:t>
      </w:r>
      <w:r w:rsidRPr="00EF4B76">
        <w:t xml:space="preserve"> 20</w:t>
      </w:r>
      <w:r w:rsidR="00926958">
        <w:t>2</w:t>
      </w:r>
      <w:r w:rsidR="003F7126">
        <w:t>3</w:t>
      </w:r>
      <w:r w:rsidRPr="00EF4B76">
        <w:t xml:space="preserve"> à partir de </w:t>
      </w:r>
      <w:r w:rsidRPr="00EF4B76">
        <w:rPr>
          <w:rFonts w:ascii="Times New Roman" w:hAnsi="Times New Roman"/>
        </w:rPr>
        <w:t>1</w:t>
      </w:r>
      <w:r w:rsidR="0035336D">
        <w:rPr>
          <w:rFonts w:ascii="Times New Roman" w:hAnsi="Times New Roman"/>
        </w:rPr>
        <w:t>8</w:t>
      </w:r>
      <w:r w:rsidR="003654C7">
        <w:t xml:space="preserve"> h</w:t>
      </w:r>
      <w:r w:rsidR="0035336D">
        <w:t xml:space="preserve"> jusqu’à</w:t>
      </w:r>
      <w:r w:rsidRPr="00EF4B76">
        <w:t xml:space="preserve"> </w:t>
      </w:r>
      <w:r w:rsidRPr="00EF4B76">
        <w:rPr>
          <w:rFonts w:ascii="Times New Roman" w:hAnsi="Times New Roman"/>
        </w:rPr>
        <w:t>22</w:t>
      </w:r>
      <w:r w:rsidR="003654C7">
        <w:rPr>
          <w:rFonts w:ascii="Times New Roman" w:hAnsi="Times New Roman"/>
        </w:rPr>
        <w:t xml:space="preserve"> h.</w:t>
      </w:r>
    </w:p>
    <w:p w14:paraId="46325D40" w14:textId="77777777" w:rsidR="00AB209B" w:rsidRPr="00EF4B76" w:rsidRDefault="00AB209B" w:rsidP="00AB209B">
      <w:pPr>
        <w:pStyle w:val="texte1"/>
      </w:pPr>
      <w:r w:rsidRPr="00EF4B76">
        <w:t>Nota : il s'agit de dates prévisionnelles qui seront définitivement arrêtées par la Ville en concertation avec le bénéficiaire.</w:t>
      </w:r>
    </w:p>
    <w:p w14:paraId="1F41BBC6" w14:textId="77777777" w:rsidR="00D02B83" w:rsidRPr="00EF4B76" w:rsidRDefault="00D02B83" w:rsidP="00D02B83">
      <w:pPr>
        <w:pStyle w:val="Titre2"/>
        <w:numPr>
          <w:ilvl w:val="1"/>
          <w:numId w:val="28"/>
        </w:numPr>
      </w:pPr>
      <w:bookmarkStart w:id="38" w:name="_Toc510166840"/>
      <w:bookmarkStart w:id="39" w:name="_Toc170398"/>
      <w:bookmarkStart w:id="40" w:name="_Toc33627569"/>
      <w:r w:rsidRPr="003957FA">
        <w:t>Pénalités</w:t>
      </w:r>
      <w:bookmarkEnd w:id="38"/>
      <w:bookmarkEnd w:id="39"/>
      <w:bookmarkEnd w:id="40"/>
      <w:r w:rsidRPr="00EF4B76">
        <w:t xml:space="preserve"> </w:t>
      </w:r>
    </w:p>
    <w:p w14:paraId="37CD6DBA" w14:textId="77777777" w:rsidR="00D02B83" w:rsidRPr="00EF4B76" w:rsidRDefault="00D02B83" w:rsidP="00D02B83">
      <w:pPr>
        <w:pStyle w:val="texte1"/>
      </w:pPr>
      <w:r w:rsidRPr="00EF4B76">
        <w:t>Les pénalités sont appliquées sur simple constatation du manquement ou du dysfonctionnement.</w:t>
      </w:r>
    </w:p>
    <w:p w14:paraId="5EF74765" w14:textId="77777777" w:rsidR="00D02B83" w:rsidRPr="00EF4B76" w:rsidRDefault="00D02B83" w:rsidP="00D02B83">
      <w:pPr>
        <w:pStyle w:val="texte1"/>
      </w:pPr>
      <w:r w:rsidRPr="00EF4B76">
        <w:t>Le montant de ces pénalités est précisé ci-dessous.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685"/>
        <w:gridCol w:w="2268"/>
        <w:gridCol w:w="3685"/>
      </w:tblGrid>
      <w:tr w:rsidR="00EF4B76" w:rsidRPr="00EF4B76" w14:paraId="027DF0F8" w14:textId="77777777" w:rsidTr="005157B1">
        <w:trPr>
          <w:cantSplit/>
          <w:tblHeader/>
          <w:jc w:val="center"/>
        </w:trPr>
        <w:tc>
          <w:tcPr>
            <w:tcW w:w="3685" w:type="dxa"/>
            <w:shd w:val="clear" w:color="auto" w:fill="D9D9D9" w:themeFill="background1" w:themeFillShade="D9"/>
            <w:vAlign w:val="center"/>
          </w:tcPr>
          <w:p w14:paraId="4F7ACAD4" w14:textId="77777777" w:rsidR="00D02B83" w:rsidRPr="00EF4B76" w:rsidRDefault="00D02B83" w:rsidP="005157B1">
            <w:pPr>
              <w:pStyle w:val="texte1"/>
              <w:jc w:val="center"/>
              <w:rPr>
                <w:b/>
                <w:sz w:val="22"/>
              </w:rPr>
            </w:pPr>
            <w:r w:rsidRPr="00EF4B76">
              <w:rPr>
                <w:b/>
                <w:sz w:val="22"/>
              </w:rPr>
              <w:t>CATÉGORIE</w:t>
            </w:r>
          </w:p>
        </w:tc>
        <w:tc>
          <w:tcPr>
            <w:tcW w:w="2268" w:type="dxa"/>
            <w:shd w:val="clear" w:color="auto" w:fill="D9D9D9" w:themeFill="background1" w:themeFillShade="D9"/>
            <w:vAlign w:val="center"/>
          </w:tcPr>
          <w:p w14:paraId="34C3F864" w14:textId="77777777" w:rsidR="00D02B83" w:rsidRPr="00EF4B76" w:rsidRDefault="00D02B83" w:rsidP="005157B1">
            <w:pPr>
              <w:pStyle w:val="texte1"/>
              <w:ind w:right="0"/>
              <w:jc w:val="center"/>
              <w:rPr>
                <w:b/>
                <w:sz w:val="22"/>
                <w:szCs w:val="22"/>
              </w:rPr>
            </w:pPr>
            <w:r w:rsidRPr="00EF4B76">
              <w:rPr>
                <w:b/>
                <w:sz w:val="22"/>
                <w:szCs w:val="22"/>
              </w:rPr>
              <w:t>MONTANT</w:t>
            </w:r>
          </w:p>
          <w:p w14:paraId="5D1CD1D8" w14:textId="77777777" w:rsidR="00D02B83" w:rsidRPr="00EF4B76" w:rsidRDefault="00D02B83" w:rsidP="005157B1">
            <w:pPr>
              <w:pStyle w:val="texte1"/>
              <w:ind w:right="0"/>
              <w:jc w:val="center"/>
              <w:rPr>
                <w:b/>
                <w:sz w:val="22"/>
                <w:szCs w:val="22"/>
              </w:rPr>
            </w:pPr>
            <w:r w:rsidRPr="00EF4B76">
              <w:rPr>
                <w:b/>
                <w:sz w:val="22"/>
                <w:szCs w:val="22"/>
              </w:rPr>
              <w:t>€ HT</w:t>
            </w:r>
          </w:p>
        </w:tc>
        <w:tc>
          <w:tcPr>
            <w:tcW w:w="3685" w:type="dxa"/>
            <w:shd w:val="clear" w:color="auto" w:fill="D9D9D9" w:themeFill="background1" w:themeFillShade="D9"/>
            <w:vAlign w:val="center"/>
          </w:tcPr>
          <w:p w14:paraId="35AB2A2E" w14:textId="77777777" w:rsidR="00D02B83" w:rsidRPr="00EF4B76" w:rsidRDefault="00D02B83" w:rsidP="005157B1">
            <w:pPr>
              <w:pStyle w:val="texte1"/>
              <w:jc w:val="center"/>
              <w:rPr>
                <w:b/>
                <w:sz w:val="22"/>
              </w:rPr>
            </w:pPr>
            <w:r w:rsidRPr="00EF4B76">
              <w:rPr>
                <w:b/>
                <w:sz w:val="22"/>
              </w:rPr>
              <w:t>APPLICATION</w:t>
            </w:r>
          </w:p>
        </w:tc>
      </w:tr>
      <w:tr w:rsidR="00EF4B76" w:rsidRPr="00EF4B76" w14:paraId="0C4EF85C" w14:textId="77777777" w:rsidTr="005157B1">
        <w:trPr>
          <w:cantSplit/>
          <w:jc w:val="center"/>
        </w:trPr>
        <w:tc>
          <w:tcPr>
            <w:tcW w:w="3685" w:type="dxa"/>
          </w:tcPr>
          <w:p w14:paraId="34920DCC" w14:textId="77777777" w:rsidR="00D02B83" w:rsidRPr="00EF4B76" w:rsidRDefault="00D02B83" w:rsidP="005157B1">
            <w:pPr>
              <w:pStyle w:val="texte1"/>
            </w:pPr>
            <w:r w:rsidRPr="00EF4B76">
              <w:t>Retard dans la remise de la finalisation du projet</w:t>
            </w:r>
          </w:p>
        </w:tc>
        <w:tc>
          <w:tcPr>
            <w:tcW w:w="2268" w:type="dxa"/>
          </w:tcPr>
          <w:p w14:paraId="62280B53" w14:textId="77777777" w:rsidR="00D02B83" w:rsidRPr="00EF4B76" w:rsidRDefault="00D02B83" w:rsidP="005157B1">
            <w:pPr>
              <w:pStyle w:val="texte1"/>
              <w:jc w:val="center"/>
            </w:pPr>
            <w:r w:rsidRPr="00EF4B76">
              <w:t>50</w:t>
            </w:r>
          </w:p>
        </w:tc>
        <w:tc>
          <w:tcPr>
            <w:tcW w:w="3685" w:type="dxa"/>
          </w:tcPr>
          <w:p w14:paraId="3547532F" w14:textId="72BC7665" w:rsidR="00D02B83" w:rsidRPr="00EF4B76" w:rsidRDefault="00DC1C1B" w:rsidP="005157B1">
            <w:pPr>
              <w:pStyle w:val="texte1"/>
            </w:pPr>
            <w:r>
              <w:t>P</w:t>
            </w:r>
            <w:r w:rsidR="00D02B83" w:rsidRPr="00EF4B76">
              <w:t>ar jour calendaire</w:t>
            </w:r>
          </w:p>
        </w:tc>
      </w:tr>
      <w:tr w:rsidR="00EF4B76" w:rsidRPr="00EF4B76" w14:paraId="1AEC9B6E" w14:textId="77777777" w:rsidTr="005157B1">
        <w:trPr>
          <w:cantSplit/>
          <w:jc w:val="center"/>
        </w:trPr>
        <w:tc>
          <w:tcPr>
            <w:tcW w:w="3685" w:type="dxa"/>
          </w:tcPr>
          <w:p w14:paraId="4C9AA36F" w14:textId="77777777" w:rsidR="00D02B83" w:rsidRPr="00EF4B76" w:rsidRDefault="00D02B83" w:rsidP="005157B1">
            <w:pPr>
              <w:pStyle w:val="texte1"/>
            </w:pPr>
            <w:r w:rsidRPr="00EF4B76">
              <w:t>Retard dans l’installation ou le retrait du marché</w:t>
            </w:r>
          </w:p>
        </w:tc>
        <w:tc>
          <w:tcPr>
            <w:tcW w:w="2268" w:type="dxa"/>
          </w:tcPr>
          <w:p w14:paraId="637CB423" w14:textId="77777777" w:rsidR="00D02B83" w:rsidRPr="00EF4B76" w:rsidRDefault="00D02B83" w:rsidP="005157B1">
            <w:pPr>
              <w:pStyle w:val="texte1"/>
              <w:jc w:val="center"/>
            </w:pPr>
            <w:r w:rsidRPr="00EF4B76">
              <w:t>30</w:t>
            </w:r>
          </w:p>
        </w:tc>
        <w:tc>
          <w:tcPr>
            <w:tcW w:w="3685" w:type="dxa"/>
          </w:tcPr>
          <w:p w14:paraId="42178240" w14:textId="2C65159B" w:rsidR="00D02B83" w:rsidRPr="00EF4B76" w:rsidRDefault="00DC1C1B" w:rsidP="005157B1">
            <w:pPr>
              <w:pStyle w:val="texte1"/>
            </w:pPr>
            <w:r>
              <w:t>P</w:t>
            </w:r>
            <w:r w:rsidR="00D02B83" w:rsidRPr="00EF4B76">
              <w:t>ar jour ouvré supplémentaire commencé</w:t>
            </w:r>
          </w:p>
        </w:tc>
      </w:tr>
      <w:tr w:rsidR="00EF4B76" w:rsidRPr="00EF4B76" w14:paraId="20B31627" w14:textId="77777777" w:rsidTr="005157B1">
        <w:trPr>
          <w:cantSplit/>
          <w:jc w:val="center"/>
        </w:trPr>
        <w:tc>
          <w:tcPr>
            <w:tcW w:w="3685" w:type="dxa"/>
          </w:tcPr>
          <w:p w14:paraId="02139E0F" w14:textId="77777777" w:rsidR="00D02B83" w:rsidRPr="00EF4B76" w:rsidRDefault="00D02B83" w:rsidP="005157B1">
            <w:pPr>
              <w:pStyle w:val="texte1"/>
            </w:pPr>
            <w:r w:rsidRPr="00EF4B76">
              <w:t>Stands fermés pendant les horaires normaux d'ouverture</w:t>
            </w:r>
          </w:p>
        </w:tc>
        <w:tc>
          <w:tcPr>
            <w:tcW w:w="2268" w:type="dxa"/>
          </w:tcPr>
          <w:p w14:paraId="45A369C9" w14:textId="77777777" w:rsidR="00D02B83" w:rsidRPr="00EF4B76" w:rsidRDefault="00D02B83" w:rsidP="005157B1">
            <w:pPr>
              <w:pStyle w:val="texte1"/>
              <w:jc w:val="center"/>
            </w:pPr>
            <w:r w:rsidRPr="00EF4B76">
              <w:t>20</w:t>
            </w:r>
          </w:p>
        </w:tc>
        <w:tc>
          <w:tcPr>
            <w:tcW w:w="3685" w:type="dxa"/>
          </w:tcPr>
          <w:p w14:paraId="291E10AD" w14:textId="6A0F8269" w:rsidR="00D02B83" w:rsidRPr="00EF4B76" w:rsidRDefault="00DC1C1B" w:rsidP="005157B1">
            <w:pPr>
              <w:pStyle w:val="texte1"/>
            </w:pPr>
            <w:r w:rsidRPr="00EF4B76">
              <w:t>Par</w:t>
            </w:r>
            <w:r w:rsidR="00D02B83" w:rsidRPr="00EF4B76">
              <w:t xml:space="preserve"> ½ journée</w:t>
            </w:r>
          </w:p>
          <w:p w14:paraId="0172805D" w14:textId="77777777" w:rsidR="00D02B83" w:rsidRPr="00EF4B76" w:rsidRDefault="00D02B83" w:rsidP="005157B1">
            <w:pPr>
              <w:pStyle w:val="texte1"/>
            </w:pPr>
            <w:r w:rsidRPr="00EF4B76">
              <w:t>Toute fermeture en matinée ou en après-midi, quelle qu'en soit la durée, est décomptée comme ½ journée</w:t>
            </w:r>
          </w:p>
        </w:tc>
      </w:tr>
      <w:tr w:rsidR="00EF4B76" w:rsidRPr="00EF4B76" w14:paraId="68017855" w14:textId="77777777" w:rsidTr="005157B1">
        <w:trPr>
          <w:cantSplit/>
          <w:jc w:val="center"/>
        </w:trPr>
        <w:tc>
          <w:tcPr>
            <w:tcW w:w="3685" w:type="dxa"/>
          </w:tcPr>
          <w:p w14:paraId="116589A6" w14:textId="77777777" w:rsidR="00D02B83" w:rsidRPr="00EF4B76" w:rsidRDefault="00D02B83" w:rsidP="005157B1">
            <w:pPr>
              <w:pStyle w:val="texte1"/>
            </w:pPr>
            <w:r w:rsidRPr="00EF4B76">
              <w:t>Constatation de la qualité de revendeur du tenancier du stand (sauf pour les produits ultra-marins)</w:t>
            </w:r>
          </w:p>
        </w:tc>
        <w:tc>
          <w:tcPr>
            <w:tcW w:w="2268" w:type="dxa"/>
          </w:tcPr>
          <w:p w14:paraId="7F5E5C1C" w14:textId="77777777" w:rsidR="00D02B83" w:rsidRPr="00EF4B76" w:rsidRDefault="00D02B83" w:rsidP="005157B1">
            <w:pPr>
              <w:pStyle w:val="texte1"/>
              <w:jc w:val="center"/>
            </w:pPr>
            <w:r w:rsidRPr="00EF4B76">
              <w:t>50</w:t>
            </w:r>
          </w:p>
          <w:p w14:paraId="6200AC92" w14:textId="77777777" w:rsidR="00D02B83" w:rsidRPr="00EF4B76" w:rsidRDefault="00D02B83" w:rsidP="005157B1">
            <w:pPr>
              <w:pStyle w:val="texte1"/>
              <w:jc w:val="center"/>
            </w:pPr>
            <w:proofErr w:type="gramStart"/>
            <w:r w:rsidRPr="00EF4B76">
              <w:t>et</w:t>
            </w:r>
            <w:proofErr w:type="gramEnd"/>
            <w:r w:rsidRPr="00EF4B76">
              <w:t xml:space="preserve"> fermeture immédiate du stand</w:t>
            </w:r>
          </w:p>
        </w:tc>
        <w:tc>
          <w:tcPr>
            <w:tcW w:w="3685" w:type="dxa"/>
          </w:tcPr>
          <w:p w14:paraId="4EE95227" w14:textId="77777777" w:rsidR="00D02B83" w:rsidRPr="00EF4B76" w:rsidRDefault="00D02B83" w:rsidP="005157B1">
            <w:pPr>
              <w:pStyle w:val="texte1"/>
            </w:pPr>
            <w:r w:rsidRPr="00EF4B76">
              <w:t>Sur simple constatation</w:t>
            </w:r>
          </w:p>
        </w:tc>
      </w:tr>
    </w:tbl>
    <w:p w14:paraId="1B7250BD" w14:textId="77777777" w:rsidR="00D02B83" w:rsidRPr="00DC1C1B" w:rsidRDefault="00D02B83" w:rsidP="00DC1C1B">
      <w:pPr>
        <w:pStyle w:val="texte1"/>
      </w:pPr>
    </w:p>
    <w:p w14:paraId="0B901FCE" w14:textId="41F00967" w:rsidR="00D02B83" w:rsidRPr="00D1349B" w:rsidRDefault="00D02B83" w:rsidP="00D02B83">
      <w:pPr>
        <w:pStyle w:val="texte1"/>
      </w:pPr>
      <w:r w:rsidRPr="00EF4B76">
        <w:t xml:space="preserve">Le bénéficiaire </w:t>
      </w:r>
      <w:proofErr w:type="gramStart"/>
      <w:r w:rsidRPr="00EF4B76">
        <w:t>sera</w:t>
      </w:r>
      <w:proofErr w:type="gramEnd"/>
      <w:r w:rsidRPr="00EF4B76">
        <w:t xml:space="preserve"> toutefois exonéré des pénalités applicables quand le montant total de celles-ci ne dépasse pas 20 euros HT.</w:t>
      </w:r>
      <w:r w:rsidR="00DC3F7C">
        <w:t xml:space="preserve"> </w:t>
      </w:r>
      <w:r w:rsidR="00DC3F7C" w:rsidRPr="00D1349B">
        <w:t xml:space="preserve">Toutefois, dès que le montant des éventuelles pénalités dépassera 20 euros HT, la totalité </w:t>
      </w:r>
      <w:r w:rsidR="00A05DE1" w:rsidRPr="00D1349B">
        <w:t>des pénalités sera due.</w:t>
      </w:r>
    </w:p>
    <w:p w14:paraId="3320DDB4" w14:textId="77777777" w:rsidR="00D02B83" w:rsidRPr="00EF4B76" w:rsidRDefault="00D02B83" w:rsidP="00D02B83">
      <w:pPr>
        <w:pStyle w:val="texte1"/>
      </w:pPr>
      <w:r w:rsidRPr="00EF4B76">
        <w:t>Enfin si le bénéficiaire ne procède pas au règlement effectif de la redevance dans les délais spécifiés à compter de la réception du titre de recette, des intérêts moratoires pourront lui être appliqués :</w:t>
      </w:r>
    </w:p>
    <w:p w14:paraId="0EE62141" w14:textId="77777777" w:rsidR="00D02B83" w:rsidRPr="00EF4B76" w:rsidRDefault="00D02B83" w:rsidP="00D02B83">
      <w:pPr>
        <w:pStyle w:val="texte2"/>
        <w:numPr>
          <w:ilvl w:val="0"/>
          <w:numId w:val="25"/>
        </w:numPr>
      </w:pPr>
      <w:r w:rsidRPr="00EF4B76">
        <w:t>Le montant de l’indemnité forfaitaire pour frais de recouvrement est fixé à 40 euros.</w:t>
      </w:r>
    </w:p>
    <w:p w14:paraId="2D966C71" w14:textId="4002C9FD" w:rsidR="00D02B83" w:rsidRDefault="00DC3F7C" w:rsidP="00D02B83">
      <w:pPr>
        <w:pStyle w:val="texte2"/>
        <w:numPr>
          <w:ilvl w:val="0"/>
          <w:numId w:val="25"/>
        </w:numPr>
      </w:pPr>
      <w:r w:rsidRPr="00EF4B76">
        <w:t>Le</w:t>
      </w:r>
      <w:r w:rsidR="00D02B83" w:rsidRPr="00EF4B76">
        <w:t xml:space="preserve"> taux des intérêts moratoires est égal au taux d’intérêt de la principale facilité de refinancement appliquée par la Banque Centrale Européenne à son opération de refinancement principal la plus récente effectuée avant le premier jour de calendrier du semestre de l'année civile au cours duquel les intérêts moratoires ont commencé à courir, majoré de huit points.</w:t>
      </w:r>
    </w:p>
    <w:p w14:paraId="34EA0001" w14:textId="77777777" w:rsidR="00737A02" w:rsidRPr="00EF4B76" w:rsidRDefault="00737A02" w:rsidP="00737A02">
      <w:pPr>
        <w:pStyle w:val="texte2"/>
        <w:numPr>
          <w:ilvl w:val="0"/>
          <w:numId w:val="0"/>
        </w:numPr>
        <w:ind w:left="1494"/>
      </w:pPr>
    </w:p>
    <w:p w14:paraId="0E64C131" w14:textId="5CAF09B6" w:rsidR="0093325E" w:rsidRPr="00EF4B76" w:rsidRDefault="00D02B83" w:rsidP="00D02B83">
      <w:pPr>
        <w:pStyle w:val="texte1"/>
      </w:pPr>
      <w:r w:rsidRPr="00EF4B76">
        <w:t>Le cas échéant, la Ville émettra un titre de recettes pour les recouvrements des éventuelles pénalités et/ou intérêts moratoires.</w:t>
      </w:r>
    </w:p>
    <w:p w14:paraId="046B2BC9" w14:textId="7D85DE1F" w:rsidR="0093325E" w:rsidRPr="0093325E" w:rsidRDefault="00F878BB" w:rsidP="00025D9C">
      <w:pPr>
        <w:pStyle w:val="Titre1"/>
      </w:pPr>
      <w:bookmarkStart w:id="41" w:name="_Toc33627570"/>
      <w:r>
        <w:lastRenderedPageBreak/>
        <w:t xml:space="preserve">Obligations administratives du </w:t>
      </w:r>
      <w:r w:rsidR="00F86D84">
        <w:t>bénéficiaire</w:t>
      </w:r>
      <w:bookmarkEnd w:id="41"/>
      <w:r>
        <w:t xml:space="preserve"> </w:t>
      </w:r>
    </w:p>
    <w:p w14:paraId="6108FCC4" w14:textId="77777777" w:rsidR="00F878BB" w:rsidRDefault="00F878BB" w:rsidP="00FC3C34">
      <w:pPr>
        <w:pStyle w:val="Titre2"/>
      </w:pPr>
      <w:bookmarkStart w:id="42" w:name="_Toc33627571"/>
      <w:r>
        <w:t>Assurance</w:t>
      </w:r>
      <w:bookmarkEnd w:id="42"/>
    </w:p>
    <w:p w14:paraId="30D5D8C0" w14:textId="77777777" w:rsidR="00F878BB" w:rsidRDefault="00004258">
      <w:pPr>
        <w:pStyle w:val="texte1"/>
      </w:pPr>
      <w:r>
        <w:t>Le bénéficiaire</w:t>
      </w:r>
      <w:r w:rsidR="000302BC">
        <w:t xml:space="preserve"> doit justifier auprès </w:t>
      </w:r>
      <w:r w:rsidR="00526C54">
        <w:t>de la Ville</w:t>
      </w:r>
      <w:r w:rsidR="000302BC">
        <w:t xml:space="preserve"> de la souscription des polices d'assurance auprès de compagnies notoirement solvables.</w:t>
      </w:r>
    </w:p>
    <w:p w14:paraId="16E906A8" w14:textId="77777777" w:rsidR="00F878BB" w:rsidRDefault="00F878BB">
      <w:pPr>
        <w:pStyle w:val="texte1"/>
      </w:pPr>
      <w:r>
        <w:t>Au plus tard dans le délai de quinze jours</w:t>
      </w:r>
      <w:r w:rsidR="002039F1">
        <w:t xml:space="preserve"> à compter de la notification de la convention</w:t>
      </w:r>
      <w:r>
        <w:t xml:space="preserve">, et avant tout commencement d'exécution, le </w:t>
      </w:r>
      <w:r w:rsidR="00004258">
        <w:t>bénéficiaire</w:t>
      </w:r>
      <w:r>
        <w:t xml:space="preserve"> doit justifier que son entreprise est titulaire d'une assurance responsabilité civile, pour l'année en cours, garantissant les tiers en cas de fautes, omissions, accidents, do</w:t>
      </w:r>
      <w:r w:rsidR="002039F1">
        <w:t>mmages causés par l'exécution de la convention</w:t>
      </w:r>
      <w:r>
        <w:t>.</w:t>
      </w:r>
    </w:p>
    <w:p w14:paraId="04B12AC2" w14:textId="77777777" w:rsidR="00F878BB" w:rsidRDefault="00F878BB" w:rsidP="00FC3C34">
      <w:pPr>
        <w:pStyle w:val="Titre2"/>
      </w:pPr>
      <w:bookmarkStart w:id="43" w:name="_Toc33627572"/>
      <w:r>
        <w:t>Statuts et forme juridique</w:t>
      </w:r>
      <w:bookmarkEnd w:id="43"/>
    </w:p>
    <w:p w14:paraId="1BC21225" w14:textId="77777777" w:rsidR="00F878BB" w:rsidRDefault="00004258">
      <w:pPr>
        <w:pStyle w:val="texte1"/>
      </w:pPr>
      <w:r>
        <w:t xml:space="preserve">Le bénéficiaire </w:t>
      </w:r>
      <w:r w:rsidR="00F878BB">
        <w:t xml:space="preserve">s'engage à informer </w:t>
      </w:r>
      <w:r w:rsidR="00526C54">
        <w:t>la Ville</w:t>
      </w:r>
      <w:r w:rsidR="00F878BB">
        <w:t>, dans les plus brefs délais, de toute modification relative à ses statuts, sa forme juridique, sa dénomination sociale, etc. Il en est de même pour une cession partielle ou totale d'activité ainsi qu'en cas de dépôt de bilan ou mise en redressement ou liquidation judiciaire.</w:t>
      </w:r>
    </w:p>
    <w:p w14:paraId="7F3EDBB8" w14:textId="77777777" w:rsidR="00F878BB" w:rsidRDefault="00F878BB">
      <w:pPr>
        <w:pStyle w:val="texte1"/>
      </w:pPr>
      <w:r>
        <w:t>Un avenant de transfert sera éventuellement conclu si nécessaire.</w:t>
      </w:r>
    </w:p>
    <w:p w14:paraId="29803095" w14:textId="77777777" w:rsidR="00F878BB" w:rsidRDefault="00F878BB" w:rsidP="00FC3C34">
      <w:pPr>
        <w:pStyle w:val="Titre2"/>
      </w:pPr>
      <w:bookmarkStart w:id="44" w:name="_Toc33627573"/>
      <w:r>
        <w:t>Sanctions</w:t>
      </w:r>
      <w:bookmarkEnd w:id="44"/>
    </w:p>
    <w:p w14:paraId="35D49F05" w14:textId="77777777" w:rsidR="00F0419C" w:rsidRDefault="00F0419C" w:rsidP="00F0419C">
      <w:pPr>
        <w:pStyle w:val="texte1"/>
        <w:rPr>
          <w:iCs/>
        </w:rPr>
      </w:pPr>
      <w:r>
        <w:rPr>
          <w:iCs/>
        </w:rPr>
        <w:t>En cas de défaillances répétées</w:t>
      </w:r>
      <w:r w:rsidR="00DA1DE1">
        <w:rPr>
          <w:iCs/>
        </w:rPr>
        <w:t xml:space="preserve"> dans la prestation</w:t>
      </w:r>
      <w:r>
        <w:rPr>
          <w:iCs/>
        </w:rPr>
        <w:t>, et notamment si la Ville constate un nombre préoccupant de plaintes d’usagers, elle</w:t>
      </w:r>
      <w:r w:rsidR="008665C0">
        <w:rPr>
          <w:iCs/>
        </w:rPr>
        <w:t xml:space="preserve"> en</w:t>
      </w:r>
      <w:r>
        <w:rPr>
          <w:iCs/>
        </w:rPr>
        <w:t xml:space="preserve"> informera le </w:t>
      </w:r>
      <w:r w:rsidR="008D6036">
        <w:rPr>
          <w:iCs/>
        </w:rPr>
        <w:t>bénéficiaire</w:t>
      </w:r>
      <w:r>
        <w:rPr>
          <w:iCs/>
        </w:rPr>
        <w:t xml:space="preserve"> par </w:t>
      </w:r>
      <w:r w:rsidR="008D6036">
        <w:rPr>
          <w:iCs/>
        </w:rPr>
        <w:t>mél</w:t>
      </w:r>
      <w:r>
        <w:rPr>
          <w:iCs/>
        </w:rPr>
        <w:t>, rappelant précisément les incidents constatés, et le mettant en demeure d’assurer un service à la population de niveau satisfaisant.</w:t>
      </w:r>
    </w:p>
    <w:p w14:paraId="38E542F5" w14:textId="77777777" w:rsidR="00DA1DE1" w:rsidRDefault="00F0419C">
      <w:pPr>
        <w:pStyle w:val="texte1"/>
      </w:pPr>
      <w:r>
        <w:rPr>
          <w:iCs/>
        </w:rPr>
        <w:t xml:space="preserve">L’envoi de trois </w:t>
      </w:r>
      <w:r w:rsidR="008D6036">
        <w:rPr>
          <w:iCs/>
        </w:rPr>
        <w:t>méls</w:t>
      </w:r>
      <w:r>
        <w:rPr>
          <w:iCs/>
        </w:rPr>
        <w:t xml:space="preserve"> de ce type, sans que des résultats concrets puissent être observés, mettra la Ville en droit de résilier la présente convention </w:t>
      </w:r>
      <w:r w:rsidR="00F878BB">
        <w:t xml:space="preserve">sans que le </w:t>
      </w:r>
      <w:r w:rsidR="008D6036">
        <w:rPr>
          <w:iCs/>
        </w:rPr>
        <w:t xml:space="preserve">bénéficiaire </w:t>
      </w:r>
      <w:r w:rsidR="00F878BB">
        <w:t>ou ses ayants droit puisse prétendre à une quelconque indemnité.</w:t>
      </w:r>
    </w:p>
    <w:p w14:paraId="5B2B7FCE" w14:textId="72C3CE5F" w:rsidR="0093325E" w:rsidRDefault="003D237C">
      <w:pPr>
        <w:pStyle w:val="texte1"/>
      </w:pPr>
      <w:r>
        <w:t>Ce motif de résiliation ne préjuge</w:t>
      </w:r>
      <w:r w:rsidR="009D2110">
        <w:t xml:space="preserve"> pas des éventuelles suites judiciaires que le pouvoir adjudicateur pourrait intenter.</w:t>
      </w:r>
    </w:p>
    <w:p w14:paraId="2A224928" w14:textId="12BB5FEB" w:rsidR="0093325E" w:rsidRPr="0093325E" w:rsidRDefault="00F71D47" w:rsidP="00025D9C">
      <w:pPr>
        <w:pStyle w:val="Titre1"/>
      </w:pPr>
      <w:bookmarkStart w:id="45" w:name="_Toc33627574"/>
      <w:r>
        <w:t>PrINCIPE D'ACQUITTEMENT D'UNE REDEVANCE POUR OCCUPATION DU DOMAINE PUBLIC</w:t>
      </w:r>
      <w:bookmarkEnd w:id="45"/>
    </w:p>
    <w:p w14:paraId="7643D554" w14:textId="77777777" w:rsidR="00663BB6" w:rsidRDefault="00663BB6" w:rsidP="00FC3C34">
      <w:pPr>
        <w:pStyle w:val="Titre2"/>
      </w:pPr>
      <w:bookmarkStart w:id="46" w:name="_Toc33627575"/>
      <w:bookmarkStart w:id="47" w:name="_Toc532004369"/>
      <w:bookmarkStart w:id="48" w:name="_Toc144465055"/>
      <w:bookmarkStart w:id="49" w:name="_Toc529587936"/>
      <w:bookmarkStart w:id="50" w:name="_Toc27121680"/>
      <w:bookmarkStart w:id="51" w:name="_Toc63487476"/>
      <w:r>
        <w:t>Principe général</w:t>
      </w:r>
      <w:bookmarkEnd w:id="46"/>
    </w:p>
    <w:p w14:paraId="235BFC4B" w14:textId="77777777" w:rsidR="000F79F5" w:rsidRDefault="000F79F5" w:rsidP="000F79F5">
      <w:pPr>
        <w:pStyle w:val="texte1"/>
      </w:pPr>
      <w:r>
        <w:t xml:space="preserve">Les recettes générées par </w:t>
      </w:r>
      <w:r w:rsidR="00B641CD">
        <w:t>l’exploitation d</w:t>
      </w:r>
      <w:r w:rsidR="008B0465">
        <w:t>u « Marché des Producteurs de Terroirs »</w:t>
      </w:r>
      <w:r w:rsidR="00B34963">
        <w:t xml:space="preserve"> est au profit du seul bénéficiaire</w:t>
      </w:r>
      <w:r w:rsidRPr="00C12E76">
        <w:t>.</w:t>
      </w:r>
      <w:r>
        <w:t xml:space="preserve"> </w:t>
      </w:r>
    </w:p>
    <w:p w14:paraId="1AEA8604" w14:textId="77777777" w:rsidR="009D2110" w:rsidRPr="0075256C" w:rsidRDefault="009D2110" w:rsidP="00DD618D">
      <w:pPr>
        <w:pStyle w:val="Titre3"/>
        <w:tabs>
          <w:tab w:val="clear" w:pos="720"/>
          <w:tab w:val="num" w:pos="993"/>
        </w:tabs>
        <w:ind w:left="993" w:hanging="709"/>
      </w:pPr>
      <w:bookmarkStart w:id="52" w:name="_Toc33627576"/>
      <w:r w:rsidRPr="0075256C">
        <w:t>Redevance fixe</w:t>
      </w:r>
      <w:bookmarkEnd w:id="52"/>
      <w:r w:rsidRPr="0075256C">
        <w:t xml:space="preserve"> </w:t>
      </w:r>
    </w:p>
    <w:p w14:paraId="7912ACFC" w14:textId="36172EA5" w:rsidR="001574ED" w:rsidRPr="00F13F62" w:rsidRDefault="00B34963" w:rsidP="000F79F5">
      <w:pPr>
        <w:pStyle w:val="texte1"/>
      </w:pPr>
      <w:r>
        <w:t>Le bénéficiaire</w:t>
      </w:r>
      <w:r w:rsidR="000F79F5" w:rsidRPr="00B34963">
        <w:t xml:space="preserve"> doit </w:t>
      </w:r>
      <w:r w:rsidR="00E247BD" w:rsidRPr="00B34963">
        <w:t xml:space="preserve">obligatoirement </w:t>
      </w:r>
      <w:r w:rsidR="000F79F5" w:rsidRPr="00B34963">
        <w:t>s’acquitter d’une redevance</w:t>
      </w:r>
      <w:r w:rsidR="00113FFD">
        <w:t xml:space="preserve"> </w:t>
      </w:r>
      <w:r w:rsidR="00E247BD" w:rsidRPr="00B34963">
        <w:t xml:space="preserve">minimum </w:t>
      </w:r>
      <w:r w:rsidR="000F79F5" w:rsidRPr="00B34963">
        <w:t>po</w:t>
      </w:r>
      <w:r w:rsidR="00E247BD" w:rsidRPr="00B34963">
        <w:t xml:space="preserve">ur occupation du domaine public s’élevant à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00"/>
      </w:tblGrid>
      <w:tr w:rsidR="00E247BD" w:rsidRPr="00B97A03" w14:paraId="4C4FB0AC" w14:textId="77777777" w:rsidTr="00E802C4">
        <w:trPr>
          <w:cantSplit/>
        </w:trPr>
        <w:tc>
          <w:tcPr>
            <w:tcW w:w="9638" w:type="dxa"/>
            <w:tcBorders>
              <w:top w:val="single" w:sz="12" w:space="0" w:color="auto"/>
              <w:left w:val="single" w:sz="12" w:space="0" w:color="auto"/>
              <w:bottom w:val="single" w:sz="12" w:space="0" w:color="auto"/>
              <w:right w:val="single" w:sz="12" w:space="0" w:color="auto"/>
            </w:tcBorders>
            <w:shd w:val="clear" w:color="auto" w:fill="D9D9D9"/>
          </w:tcPr>
          <w:p w14:paraId="1FA40C5C" w14:textId="77777777" w:rsidR="00B97A03" w:rsidRDefault="0027379A" w:rsidP="00B97A03">
            <w:pPr>
              <w:pStyle w:val="texte1"/>
              <w:jc w:val="center"/>
              <w:rPr>
                <w:b/>
              </w:rPr>
            </w:pPr>
            <w:r w:rsidRPr="00B97A03">
              <w:rPr>
                <w:b/>
              </w:rPr>
              <w:t xml:space="preserve">Pour une </w:t>
            </w:r>
            <w:r w:rsidR="00526C54" w:rsidRPr="00B97A03">
              <w:rPr>
                <w:b/>
              </w:rPr>
              <w:t>manifestation commerciale à caractère exceptionnel</w:t>
            </w:r>
            <w:r w:rsidRPr="00B97A03">
              <w:rPr>
                <w:b/>
              </w:rPr>
              <w:t> :</w:t>
            </w:r>
          </w:p>
          <w:p w14:paraId="737AE27C" w14:textId="227CE034" w:rsidR="00E247BD" w:rsidRPr="00B97A03" w:rsidRDefault="00145301" w:rsidP="00D02B83">
            <w:pPr>
              <w:pStyle w:val="texte1"/>
              <w:jc w:val="center"/>
              <w:rPr>
                <w:b/>
              </w:rPr>
            </w:pPr>
            <w:r>
              <w:rPr>
                <w:b/>
              </w:rPr>
              <w:t>9,</w:t>
            </w:r>
            <w:r w:rsidR="001B7BD0">
              <w:rPr>
                <w:b/>
              </w:rPr>
              <w:t>2</w:t>
            </w:r>
            <w:r w:rsidR="00526C54" w:rsidRPr="00B97A03">
              <w:rPr>
                <w:b/>
              </w:rPr>
              <w:t>0</w:t>
            </w:r>
            <w:r w:rsidR="00E247BD" w:rsidRPr="00B97A03">
              <w:rPr>
                <w:b/>
              </w:rPr>
              <w:t xml:space="preserve"> €</w:t>
            </w:r>
            <w:r w:rsidR="00847AD6" w:rsidRPr="00B97A03">
              <w:rPr>
                <w:b/>
              </w:rPr>
              <w:t xml:space="preserve"> nets</w:t>
            </w:r>
            <w:r w:rsidR="00F86799">
              <w:rPr>
                <w:b/>
              </w:rPr>
              <w:t xml:space="preserve"> par ml/jour</w:t>
            </w:r>
            <w:r w:rsidR="00E247BD" w:rsidRPr="00B97A03">
              <w:rPr>
                <w:b/>
              </w:rPr>
              <w:t xml:space="preserve"> </w:t>
            </w:r>
            <w:r w:rsidR="00932F7C" w:rsidRPr="00B97A03">
              <w:rPr>
                <w:b/>
              </w:rPr>
              <w:t xml:space="preserve">pour </w:t>
            </w:r>
            <w:r w:rsidR="00932F7C" w:rsidRPr="00EF4B76">
              <w:rPr>
                <w:b/>
              </w:rPr>
              <w:t>20</w:t>
            </w:r>
            <w:r w:rsidR="002D5DCE">
              <w:rPr>
                <w:b/>
              </w:rPr>
              <w:t>2</w:t>
            </w:r>
            <w:r w:rsidR="003F7126">
              <w:rPr>
                <w:b/>
              </w:rPr>
              <w:t>3</w:t>
            </w:r>
          </w:p>
        </w:tc>
      </w:tr>
    </w:tbl>
    <w:p w14:paraId="2839999E" w14:textId="77777777" w:rsidR="001574ED" w:rsidRPr="009F02F8" w:rsidRDefault="001574ED" w:rsidP="009F02F8">
      <w:pPr>
        <w:pStyle w:val="texte1"/>
      </w:pPr>
    </w:p>
    <w:p w14:paraId="44C701CA" w14:textId="2FA3E1C2" w:rsidR="00317EF8" w:rsidRPr="008165B6" w:rsidRDefault="000F79F5" w:rsidP="00491CE5">
      <w:pPr>
        <w:pStyle w:val="texte1"/>
      </w:pPr>
      <w:r w:rsidRPr="008165B6">
        <w:t>Le montant de cette redevance</w:t>
      </w:r>
      <w:r w:rsidR="00C40796" w:rsidRPr="008165B6">
        <w:t xml:space="preserve"> minimum</w:t>
      </w:r>
      <w:r w:rsidRPr="008165B6">
        <w:t xml:space="preserve"> </w:t>
      </w:r>
      <w:r w:rsidR="00E247BD" w:rsidRPr="008165B6">
        <w:t xml:space="preserve">est </w:t>
      </w:r>
      <w:r w:rsidR="00B641CD" w:rsidRPr="008165B6">
        <w:t xml:space="preserve">déterminé </w:t>
      </w:r>
      <w:r w:rsidRPr="008165B6">
        <w:t xml:space="preserve">par </w:t>
      </w:r>
      <w:r w:rsidR="00317EF8" w:rsidRPr="008165B6">
        <w:t xml:space="preserve">la </w:t>
      </w:r>
      <w:r w:rsidR="00E247BD" w:rsidRPr="008165B6">
        <w:t>délibération</w:t>
      </w:r>
      <w:r w:rsidR="00711BFC" w:rsidRPr="008165B6">
        <w:t>,</w:t>
      </w:r>
      <w:r w:rsidR="00E247BD" w:rsidRPr="008165B6">
        <w:t xml:space="preserve"> n°</w:t>
      </w:r>
      <w:r w:rsidR="006E1AC6">
        <w:t> </w:t>
      </w:r>
      <w:r w:rsidR="00C92FCF">
        <w:t>16</w:t>
      </w:r>
      <w:r w:rsidR="00E247BD" w:rsidRPr="008165B6">
        <w:t xml:space="preserve"> du </w:t>
      </w:r>
      <w:r w:rsidR="00C92FCF">
        <w:t>07</w:t>
      </w:r>
      <w:r w:rsidR="00C978D2">
        <w:t> décembre </w:t>
      </w:r>
      <w:r w:rsidR="00E247BD" w:rsidRPr="008165B6">
        <w:t>201</w:t>
      </w:r>
      <w:r w:rsidR="00C92FCF">
        <w:t>7</w:t>
      </w:r>
      <w:r w:rsidR="00317EF8" w:rsidRPr="008165B6">
        <w:t>, article 3</w:t>
      </w:r>
      <w:r w:rsidR="00526C54" w:rsidRPr="008165B6">
        <w:t>-8</w:t>
      </w:r>
      <w:r w:rsidR="00317EF8" w:rsidRPr="008165B6">
        <w:t xml:space="preserve"> </w:t>
      </w:r>
      <w:r w:rsidR="00F86799">
        <w:t>"</w:t>
      </w:r>
      <w:r w:rsidR="00526C54" w:rsidRPr="008165B6">
        <w:t>occupation du domaine public pour les foires organisées sur le territoire communal</w:t>
      </w:r>
      <w:r w:rsidR="00F86799">
        <w:t>"</w:t>
      </w:r>
      <w:r w:rsidR="00711BFC" w:rsidRPr="008165B6">
        <w:t>, du</w:t>
      </w:r>
      <w:r w:rsidR="006E1AC6" w:rsidRPr="008165B6">
        <w:t xml:space="preserve"> conseil municipal</w:t>
      </w:r>
      <w:r w:rsidR="00711BFC" w:rsidRPr="008165B6">
        <w:t xml:space="preserve"> de la Ville de Boulogne-Billancourt</w:t>
      </w:r>
      <w:r w:rsidR="00317EF8" w:rsidRPr="008165B6">
        <w:t xml:space="preserve">. </w:t>
      </w:r>
    </w:p>
    <w:p w14:paraId="219C6F7C" w14:textId="4ADEF581" w:rsidR="00663BB6" w:rsidRDefault="00E25DDB" w:rsidP="0093325E">
      <w:pPr>
        <w:pStyle w:val="Titre2"/>
      </w:pPr>
      <w:bookmarkStart w:id="53" w:name="_Toc33627577"/>
      <w:r>
        <w:lastRenderedPageBreak/>
        <w:t>Évolution tarifaire de la redevance</w:t>
      </w:r>
      <w:bookmarkEnd w:id="53"/>
    </w:p>
    <w:p w14:paraId="096DBE5E" w14:textId="404FE09F" w:rsidR="000F79F5" w:rsidRPr="00B04F69" w:rsidRDefault="000F79F5" w:rsidP="000F79F5">
      <w:pPr>
        <w:pStyle w:val="texte1"/>
        <w:rPr>
          <w:i/>
          <w:color w:val="365F91"/>
        </w:rPr>
      </w:pPr>
      <w:r w:rsidRPr="00950B01">
        <w:t xml:space="preserve">Le montant </w:t>
      </w:r>
      <w:r w:rsidR="007A3A5D" w:rsidRPr="00950B01">
        <w:t xml:space="preserve">ainsi déterminé </w:t>
      </w:r>
      <w:r w:rsidRPr="00950B01">
        <w:t xml:space="preserve">engage le </w:t>
      </w:r>
      <w:r w:rsidR="007F1D67">
        <w:t>bénéficiaire</w:t>
      </w:r>
      <w:r w:rsidR="007F1D67" w:rsidRPr="00B34963">
        <w:t xml:space="preserve"> </w:t>
      </w:r>
      <w:r w:rsidRPr="00950B01">
        <w:t xml:space="preserve">pour la durée totale de la convention, </w:t>
      </w:r>
      <w:r w:rsidRPr="00950B01">
        <w:rPr>
          <w:shd w:val="clear" w:color="auto" w:fill="FFFFFF"/>
        </w:rPr>
        <w:t xml:space="preserve">sauf dans le cas où une nouvelle délibération du Conseil Municipal </w:t>
      </w:r>
      <w:r w:rsidR="00957D4C">
        <w:rPr>
          <w:shd w:val="clear" w:color="auto" w:fill="FFFFFF"/>
        </w:rPr>
        <w:t>modifierai</w:t>
      </w:r>
      <w:r w:rsidR="00D4413F">
        <w:rPr>
          <w:shd w:val="clear" w:color="auto" w:fill="FFFFFF"/>
        </w:rPr>
        <w:t>t</w:t>
      </w:r>
      <w:r w:rsidRPr="00950B01">
        <w:rPr>
          <w:shd w:val="clear" w:color="auto" w:fill="FFFFFF"/>
        </w:rPr>
        <w:t xml:space="preserve"> le montant de la redevance.</w:t>
      </w:r>
    </w:p>
    <w:p w14:paraId="522CD937" w14:textId="77777777" w:rsidR="00F77279" w:rsidRDefault="000F79F5" w:rsidP="00526C54">
      <w:pPr>
        <w:pStyle w:val="texte1"/>
      </w:pPr>
      <w:r>
        <w:t xml:space="preserve">Dans ce cas, c'est ce nouveau montant qui s'appliquerait automatiquement à la convention, à compter de la date emportant caractère exécutoire de la délibération, sans qu’il soit nécessaire de conclure un avenant. </w:t>
      </w:r>
    </w:p>
    <w:p w14:paraId="1D95EE3F" w14:textId="77777777" w:rsidR="00DD4D12" w:rsidRDefault="00DD4D12" w:rsidP="00526C54">
      <w:pPr>
        <w:pStyle w:val="texte1"/>
      </w:pPr>
      <w:r>
        <w:t>Cette délibération sera transmise au bénéficiaire.</w:t>
      </w:r>
    </w:p>
    <w:p w14:paraId="1BE1A382" w14:textId="77777777" w:rsidR="00285A2F" w:rsidRDefault="00285A2F" w:rsidP="00FC3C34">
      <w:pPr>
        <w:pStyle w:val="Titre2"/>
      </w:pPr>
      <w:bookmarkStart w:id="54" w:name="_Toc33627578"/>
      <w:r>
        <w:t>Règlement de la redevance</w:t>
      </w:r>
      <w:bookmarkEnd w:id="54"/>
    </w:p>
    <w:bookmarkEnd w:id="47"/>
    <w:bookmarkEnd w:id="48"/>
    <w:bookmarkEnd w:id="49"/>
    <w:bookmarkEnd w:id="50"/>
    <w:bookmarkEnd w:id="51"/>
    <w:p w14:paraId="36A2F14A" w14:textId="657B01FA" w:rsidR="00602EC8" w:rsidRPr="00EF4B76" w:rsidRDefault="00602EC8" w:rsidP="00602EC8">
      <w:pPr>
        <w:pStyle w:val="texte1"/>
      </w:pPr>
      <w:r w:rsidRPr="00EF4B76">
        <w:t xml:space="preserve">Le bénéficiaire s'acquittera du règlement conformément au mémoire détaillé qui lui sera adressé par le service gestionnaire. Ce mémoire lui sera transmis par courrier ou courriel au plus tard le </w:t>
      </w:r>
      <w:r w:rsidR="00B52E19">
        <w:t>30 </w:t>
      </w:r>
      <w:r w:rsidR="00CA7871" w:rsidRPr="00EF4B76">
        <w:t xml:space="preserve">septembre </w:t>
      </w:r>
      <w:r w:rsidR="002D5DCE">
        <w:t>202</w:t>
      </w:r>
      <w:r w:rsidR="003F7126">
        <w:t>3</w:t>
      </w:r>
      <w:r w:rsidR="002D5DCE">
        <w:t xml:space="preserve"> </w:t>
      </w:r>
      <w:r w:rsidRPr="00EF4B76">
        <w:t>et indiquera :</w:t>
      </w:r>
    </w:p>
    <w:p w14:paraId="240F6380" w14:textId="6826A259" w:rsidR="00602EC8" w:rsidRPr="00EF4B76" w:rsidRDefault="00B52E19" w:rsidP="00602EC8">
      <w:pPr>
        <w:pStyle w:val="texte2"/>
        <w:ind w:left="709"/>
      </w:pPr>
      <w:r w:rsidRPr="00EF4B76">
        <w:t>Le</w:t>
      </w:r>
      <w:r w:rsidR="00602EC8" w:rsidRPr="00EF4B76">
        <w:t xml:space="preserve"> nombre de stands installés, </w:t>
      </w:r>
    </w:p>
    <w:p w14:paraId="7D68E124" w14:textId="01A424EA" w:rsidR="00602EC8" w:rsidRDefault="00B52E19" w:rsidP="00602EC8">
      <w:pPr>
        <w:pStyle w:val="texte2"/>
        <w:ind w:left="709"/>
      </w:pPr>
      <w:r w:rsidRPr="00EF4B76">
        <w:t>La</w:t>
      </w:r>
      <w:r w:rsidR="00602EC8" w:rsidRPr="00EF4B76">
        <w:t xml:space="preserve"> copie de l’extrait de la délibération actant les tarifs de la redevance,</w:t>
      </w:r>
    </w:p>
    <w:p w14:paraId="4B332027" w14:textId="5414F30D" w:rsidR="00F878BB" w:rsidRPr="00EF4B76" w:rsidRDefault="00F878BB" w:rsidP="00025D9C">
      <w:pPr>
        <w:pStyle w:val="Titre1"/>
      </w:pPr>
      <w:bookmarkStart w:id="55" w:name="_Toc33627579"/>
      <w:r w:rsidRPr="00EF4B76">
        <w:t xml:space="preserve">Prestations supplémentaires ou non prévues </w:t>
      </w:r>
      <w:r w:rsidR="00B602DB" w:rsidRPr="00EF4B76">
        <w:t>PAR LA CONVENTION</w:t>
      </w:r>
      <w:bookmarkEnd w:id="55"/>
      <w:r w:rsidRPr="00EF4B76">
        <w:t xml:space="preserve"> </w:t>
      </w:r>
      <w:r w:rsidRPr="002100F8">
        <w:rPr>
          <w:i/>
          <w:vanish/>
          <w:color w:val="FF00FF"/>
        </w:rPr>
        <w:t>ne pas modifier</w:t>
      </w:r>
    </w:p>
    <w:p w14:paraId="17CBB8CF" w14:textId="7058E737" w:rsidR="0093325E" w:rsidRPr="00EF4B76" w:rsidRDefault="00DC239E" w:rsidP="00EA16BD">
      <w:pPr>
        <w:pStyle w:val="texte1"/>
        <w:shd w:val="clear" w:color="auto" w:fill="FFFFFF"/>
      </w:pPr>
      <w:r w:rsidRPr="00EF4B76">
        <w:t xml:space="preserve">Toute prestation supplémentaire ou non prévue </w:t>
      </w:r>
      <w:r w:rsidR="007D3162" w:rsidRPr="00EF4B76">
        <w:t>par</w:t>
      </w:r>
      <w:r w:rsidRPr="00EF4B76">
        <w:t xml:space="preserve"> la présente conv</w:t>
      </w:r>
      <w:r w:rsidR="000A0409" w:rsidRPr="00EF4B76">
        <w:t>ention devra faire l'objet d'une modification</w:t>
      </w:r>
      <w:r w:rsidR="007D3162" w:rsidRPr="00EF4B76">
        <w:t xml:space="preserve"> préalable</w:t>
      </w:r>
      <w:r w:rsidR="000A0409" w:rsidRPr="00EF4B76">
        <w:t xml:space="preserve"> </w:t>
      </w:r>
      <w:r w:rsidR="00526C54" w:rsidRPr="00EF4B76">
        <w:t>de la convention</w:t>
      </w:r>
      <w:r w:rsidR="007D3162" w:rsidRPr="00EF4B76">
        <w:t xml:space="preserve"> initiale</w:t>
      </w:r>
      <w:r w:rsidRPr="00EF4B76">
        <w:t>.</w:t>
      </w:r>
    </w:p>
    <w:p w14:paraId="611D64B7" w14:textId="77777777" w:rsidR="001D410A" w:rsidRPr="00025D9C" w:rsidRDefault="001D410A" w:rsidP="00025D9C">
      <w:pPr>
        <w:pStyle w:val="Titre1"/>
      </w:pPr>
      <w:bookmarkStart w:id="56" w:name="_Toc527119589"/>
      <w:r w:rsidRPr="00025D9C">
        <w:t>Force majeure</w:t>
      </w:r>
      <w:bookmarkEnd w:id="56"/>
    </w:p>
    <w:p w14:paraId="3FAD9B72" w14:textId="0DC54BDD" w:rsidR="001D410A" w:rsidRPr="00EF4B76" w:rsidRDefault="001D410A" w:rsidP="001D410A">
      <w:pPr>
        <w:pStyle w:val="texte1"/>
      </w:pPr>
      <w:r w:rsidRPr="00EF4B76">
        <w:t>On entend par force majeure des circonstances qui se sont produites après la signature du contrat, en raison des faits d’un caractère imprévisible et insurmontable et qui ne peuvent pas être empêchés par les contractants et notamment : catastrophes naturelles, pandémie, guerre, insurrection, grève générale, attentats…</w:t>
      </w:r>
    </w:p>
    <w:p w14:paraId="4C6CFAED" w14:textId="01F7E2C5" w:rsidR="0093325E" w:rsidRPr="00EF4B76" w:rsidRDefault="001D410A" w:rsidP="001D410A">
      <w:pPr>
        <w:pStyle w:val="texte1"/>
      </w:pPr>
      <w:r w:rsidRPr="00EF4B76">
        <w:t>En cas d’annulation par cas de force majeure, aucune des parties ne doit rien à l’autre.</w:t>
      </w:r>
    </w:p>
    <w:p w14:paraId="63860BB0" w14:textId="57BCBC2E" w:rsidR="00F878BB" w:rsidRPr="00EF4B76" w:rsidRDefault="00F878BB" w:rsidP="00025D9C">
      <w:pPr>
        <w:pStyle w:val="Titre1"/>
      </w:pPr>
      <w:bookmarkStart w:id="57" w:name="_Toc33627580"/>
      <w:r w:rsidRPr="00EF4B76">
        <w:t xml:space="preserve">Litiges </w:t>
      </w:r>
      <w:bookmarkEnd w:id="57"/>
      <w:r w:rsidR="000F3BAC" w:rsidRPr="002100F8">
        <w:rPr>
          <w:i/>
          <w:vanish/>
          <w:color w:val="FF00FF"/>
        </w:rPr>
        <w:t>ne pas modifier</w:t>
      </w:r>
    </w:p>
    <w:p w14:paraId="7F3C905A" w14:textId="58811D8B" w:rsidR="0093325E" w:rsidRDefault="009C670C" w:rsidP="009C670C">
      <w:pPr>
        <w:pStyle w:val="texte1"/>
      </w:pPr>
      <w:r>
        <w:t>En cas de litige qui ne pourrait être résolu à l'amiable, le tribunal administratif de Cergy-Pontoise sera saisi.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F51DF" w14:paraId="4633317C" w14:textId="77777777" w:rsidTr="00CF51DF">
        <w:tc>
          <w:tcPr>
            <w:tcW w:w="9628" w:type="dxa"/>
          </w:tcPr>
          <w:p w14:paraId="58B228D4" w14:textId="77777777" w:rsidR="00E802C4" w:rsidRDefault="00E802C4" w:rsidP="00E802C4">
            <w:pPr>
              <w:pStyle w:val="Titre1"/>
            </w:pPr>
            <w:bookmarkStart w:id="58" w:name="_Toc33627581"/>
            <w:r>
              <w:lastRenderedPageBreak/>
              <w:t>Caractère exécutoire</w:t>
            </w:r>
            <w:bookmarkEnd w:id="58"/>
            <w:r>
              <w:t xml:space="preserve"> </w:t>
            </w:r>
            <w:r>
              <w:rPr>
                <w:i/>
                <w:vanish/>
                <w:color w:val="FF00FF"/>
              </w:rPr>
              <w:t>ne pas modifier</w:t>
            </w:r>
          </w:p>
          <w:p w14:paraId="45D53B3C" w14:textId="77777777" w:rsidR="00E802C4" w:rsidRDefault="00E802C4" w:rsidP="00E802C4">
            <w:pPr>
              <w:pStyle w:val="texte1"/>
            </w:pPr>
            <w:r w:rsidRPr="00F92BDF">
              <w:t>La présente convention, conclue à la date de signature des parties contractantes, deviendra exécutoire, dès réception, par le représentant de l'État de l'exemplaire qui lui est</w:t>
            </w:r>
            <w:r>
              <w:t xml:space="preserve"> destiné (article L </w:t>
            </w:r>
            <w:r w:rsidRPr="00F92BDF">
              <w:t>2131-1 du code général des collectivités territoriales) et notification au cocontractant de la ville.</w:t>
            </w:r>
          </w:p>
          <w:p w14:paraId="204E4E0E" w14:textId="77777777" w:rsidR="00E802C4" w:rsidRDefault="00E802C4" w:rsidP="00E802C4">
            <w:pPr>
              <w:pStyle w:val="texte1"/>
            </w:pPr>
          </w:p>
          <w:tbl>
            <w:tblPr>
              <w:tblW w:w="9524" w:type="dxa"/>
              <w:tblLook w:val="01E0" w:firstRow="1" w:lastRow="1" w:firstColumn="1" w:lastColumn="1" w:noHBand="0" w:noVBand="0"/>
            </w:tblPr>
            <w:tblGrid>
              <w:gridCol w:w="4762"/>
              <w:gridCol w:w="4762"/>
            </w:tblGrid>
            <w:tr w:rsidR="00E802C4" w14:paraId="1C91AD88" w14:textId="77777777" w:rsidTr="00BB1CE6">
              <w:trPr>
                <w:cantSplit/>
              </w:trPr>
              <w:tc>
                <w:tcPr>
                  <w:tcW w:w="4762" w:type="dxa"/>
                  <w:tcBorders>
                    <w:bottom w:val="single" w:sz="4" w:space="0" w:color="auto"/>
                  </w:tcBorders>
                  <w:shd w:val="clear" w:color="auto" w:fill="auto"/>
                </w:tcPr>
                <w:p w14:paraId="05484D09" w14:textId="77777777" w:rsidR="00E802C4" w:rsidRDefault="00E802C4" w:rsidP="00E802C4">
                  <w:pPr>
                    <w:keepNext/>
                  </w:pPr>
                  <w:r>
                    <w:t xml:space="preserve">Fait à </w:t>
                  </w:r>
                </w:p>
                <w:p w14:paraId="41BFF8DC" w14:textId="77777777" w:rsidR="00E802C4" w:rsidRDefault="00E802C4" w:rsidP="00E802C4">
                  <w:pPr>
                    <w:keepNext/>
                  </w:pPr>
                  <w:proofErr w:type="gramStart"/>
                  <w:r>
                    <w:t>le</w:t>
                  </w:r>
                  <w:proofErr w:type="gramEnd"/>
                </w:p>
              </w:tc>
              <w:tc>
                <w:tcPr>
                  <w:tcW w:w="4762" w:type="dxa"/>
                  <w:tcBorders>
                    <w:bottom w:val="single" w:sz="4" w:space="0" w:color="auto"/>
                  </w:tcBorders>
                  <w:shd w:val="clear" w:color="auto" w:fill="auto"/>
                </w:tcPr>
                <w:p w14:paraId="7CBAD84D" w14:textId="77777777" w:rsidR="00E802C4" w:rsidRPr="00B1742D" w:rsidRDefault="00E802C4" w:rsidP="00E802C4">
                  <w:pPr>
                    <w:keepNext/>
                    <w:rPr>
                      <w:szCs w:val="24"/>
                    </w:rPr>
                  </w:pPr>
                  <w:r w:rsidRPr="00B1742D">
                    <w:rPr>
                      <w:szCs w:val="24"/>
                    </w:rPr>
                    <w:t xml:space="preserve">À Boulogne-Billancourt, </w:t>
                  </w:r>
                </w:p>
                <w:p w14:paraId="2708EDA5" w14:textId="77777777" w:rsidR="00E802C4" w:rsidRPr="00B1742D" w:rsidRDefault="00E802C4" w:rsidP="00E802C4">
                  <w:pPr>
                    <w:keepNext/>
                    <w:rPr>
                      <w:szCs w:val="24"/>
                    </w:rPr>
                  </w:pPr>
                  <w:proofErr w:type="gramStart"/>
                  <w:r w:rsidRPr="00B1742D">
                    <w:rPr>
                      <w:szCs w:val="24"/>
                    </w:rPr>
                    <w:t>le</w:t>
                  </w:r>
                  <w:proofErr w:type="gramEnd"/>
                </w:p>
              </w:tc>
            </w:tr>
            <w:tr w:rsidR="00E802C4" w14:paraId="266C71F4" w14:textId="77777777" w:rsidTr="00BB1CE6">
              <w:trPr>
                <w:cantSplit/>
                <w:trHeight w:val="2012"/>
              </w:trPr>
              <w:tc>
                <w:tcPr>
                  <w:tcW w:w="4762" w:type="dxa"/>
                  <w:tcBorders>
                    <w:top w:val="single" w:sz="4" w:space="0" w:color="auto"/>
                    <w:left w:val="single" w:sz="4" w:space="0" w:color="auto"/>
                    <w:bottom w:val="single" w:sz="4" w:space="0" w:color="auto"/>
                    <w:right w:val="single" w:sz="4" w:space="0" w:color="auto"/>
                  </w:tcBorders>
                  <w:shd w:val="clear" w:color="auto" w:fill="auto"/>
                </w:tcPr>
                <w:p w14:paraId="1BBB050A" w14:textId="77777777" w:rsidR="00E802C4" w:rsidRDefault="00E802C4" w:rsidP="00E802C4">
                  <w:pPr>
                    <w:keepNext/>
                    <w:jc w:val="center"/>
                    <w:rPr>
                      <w:szCs w:val="24"/>
                    </w:rPr>
                  </w:pPr>
                  <w:r w:rsidRPr="00B1742D">
                    <w:rPr>
                      <w:szCs w:val="24"/>
                    </w:rPr>
                    <w:t>L'entreprise, lu et accepté</w:t>
                  </w:r>
                </w:p>
                <w:p w14:paraId="70BD00CF" w14:textId="77777777" w:rsidR="00E802C4" w:rsidRDefault="00E802C4" w:rsidP="00E802C4">
                  <w:pPr>
                    <w:keepNext/>
                    <w:jc w:val="center"/>
                    <w:rPr>
                      <w:szCs w:val="24"/>
                    </w:rPr>
                  </w:pPr>
                </w:p>
                <w:p w14:paraId="1DD4FD89" w14:textId="77777777" w:rsidR="00E802C4" w:rsidRDefault="00E802C4" w:rsidP="00E802C4">
                  <w:pPr>
                    <w:keepNext/>
                    <w:jc w:val="center"/>
                    <w:rPr>
                      <w:szCs w:val="24"/>
                    </w:rPr>
                  </w:pPr>
                </w:p>
                <w:p w14:paraId="0F0F3FD2" w14:textId="77777777" w:rsidR="00E802C4" w:rsidRDefault="00E802C4" w:rsidP="00E802C4">
                  <w:pPr>
                    <w:keepNext/>
                    <w:jc w:val="center"/>
                    <w:rPr>
                      <w:szCs w:val="24"/>
                    </w:rPr>
                  </w:pPr>
                </w:p>
                <w:p w14:paraId="571026F7" w14:textId="467D9D32" w:rsidR="00E802C4" w:rsidRDefault="00E802C4" w:rsidP="00E802C4">
                  <w:pPr>
                    <w:keepNext/>
                    <w:jc w:val="center"/>
                    <w:rPr>
                      <w:szCs w:val="24"/>
                    </w:rPr>
                  </w:pPr>
                </w:p>
                <w:p w14:paraId="5C04535D" w14:textId="77777777" w:rsidR="00435DC0" w:rsidRDefault="00435DC0" w:rsidP="00E802C4">
                  <w:pPr>
                    <w:keepNext/>
                    <w:jc w:val="center"/>
                    <w:rPr>
                      <w:szCs w:val="24"/>
                    </w:rPr>
                  </w:pPr>
                </w:p>
                <w:p w14:paraId="076A7374" w14:textId="77777777" w:rsidR="00E802C4" w:rsidRPr="00B1742D" w:rsidRDefault="00E802C4" w:rsidP="00E802C4">
                  <w:pPr>
                    <w:keepNext/>
                    <w:jc w:val="center"/>
                    <w:rPr>
                      <w:szCs w:val="24"/>
                    </w:rPr>
                  </w:pPr>
                </w:p>
                <w:p w14:paraId="19DBD6ED" w14:textId="77777777" w:rsidR="00E802C4" w:rsidRDefault="00E802C4" w:rsidP="00E802C4">
                  <w:pPr>
                    <w:keepNext/>
                    <w:jc w:val="center"/>
                  </w:pPr>
                  <w:proofErr w:type="gramStart"/>
                  <w:r w:rsidRPr="00435DC0">
                    <w:rPr>
                      <w:sz w:val="20"/>
                      <w:szCs w:val="24"/>
                    </w:rPr>
                    <w:t>signature</w:t>
                  </w:r>
                  <w:proofErr w:type="gramEnd"/>
                  <w:r w:rsidRPr="00435DC0">
                    <w:rPr>
                      <w:sz w:val="20"/>
                      <w:szCs w:val="24"/>
                    </w:rPr>
                    <w:t>, nom, qualité du signataire, cachet commercial</w:t>
                  </w:r>
                </w:p>
              </w:tc>
              <w:tc>
                <w:tcPr>
                  <w:tcW w:w="4762" w:type="dxa"/>
                  <w:tcBorders>
                    <w:top w:val="single" w:sz="4" w:space="0" w:color="auto"/>
                    <w:left w:val="single" w:sz="4" w:space="0" w:color="auto"/>
                    <w:bottom w:val="single" w:sz="4" w:space="0" w:color="auto"/>
                    <w:right w:val="single" w:sz="4" w:space="0" w:color="auto"/>
                  </w:tcBorders>
                  <w:shd w:val="clear" w:color="auto" w:fill="auto"/>
                </w:tcPr>
                <w:p w14:paraId="1A87AB0C" w14:textId="79A60542" w:rsidR="00435DC0" w:rsidRDefault="00435DC0" w:rsidP="00E802C4">
                  <w:pPr>
                    <w:keepNext/>
                    <w:jc w:val="center"/>
                    <w:rPr>
                      <w:szCs w:val="24"/>
                    </w:rPr>
                  </w:pPr>
                  <w:r>
                    <w:rPr>
                      <w:szCs w:val="24"/>
                    </w:rPr>
                    <w:t>Le</w:t>
                  </w:r>
                  <w:r w:rsidR="00A72484">
                    <w:rPr>
                      <w:szCs w:val="24"/>
                    </w:rPr>
                    <w:t xml:space="preserve"> représentant légal </w:t>
                  </w:r>
                </w:p>
                <w:p w14:paraId="21D0F4E7" w14:textId="3E8396ED" w:rsidR="00E802C4" w:rsidRDefault="00A72484" w:rsidP="00E802C4">
                  <w:pPr>
                    <w:keepNext/>
                    <w:jc w:val="center"/>
                    <w:rPr>
                      <w:szCs w:val="24"/>
                    </w:rPr>
                  </w:pPr>
                  <w:proofErr w:type="gramStart"/>
                  <w:r>
                    <w:rPr>
                      <w:szCs w:val="24"/>
                    </w:rPr>
                    <w:t>de</w:t>
                  </w:r>
                  <w:proofErr w:type="gramEnd"/>
                  <w:r>
                    <w:rPr>
                      <w:szCs w:val="24"/>
                    </w:rPr>
                    <w:t xml:space="preserve"> la Ville de Boulogne-Billancourt</w:t>
                  </w:r>
                  <w:r w:rsidR="00E802C4" w:rsidRPr="00B1742D">
                    <w:rPr>
                      <w:szCs w:val="24"/>
                    </w:rPr>
                    <w:br/>
                    <w:t xml:space="preserve">pour le </w:t>
                  </w:r>
                  <w:r w:rsidR="00D1349B">
                    <w:rPr>
                      <w:szCs w:val="24"/>
                    </w:rPr>
                    <w:t>M</w:t>
                  </w:r>
                  <w:r w:rsidR="00E802C4" w:rsidRPr="00B1742D">
                    <w:rPr>
                      <w:szCs w:val="24"/>
                    </w:rPr>
                    <w:t>aire et par délégation,</w:t>
                  </w:r>
                </w:p>
                <w:p w14:paraId="684FFB3C" w14:textId="77777777" w:rsidR="00E802C4" w:rsidRDefault="00E802C4" w:rsidP="00E802C4">
                  <w:pPr>
                    <w:keepNext/>
                    <w:jc w:val="center"/>
                    <w:rPr>
                      <w:szCs w:val="24"/>
                    </w:rPr>
                  </w:pPr>
                </w:p>
                <w:p w14:paraId="5F662B46" w14:textId="77777777" w:rsidR="00E802C4" w:rsidRDefault="00E802C4" w:rsidP="00E802C4">
                  <w:pPr>
                    <w:keepNext/>
                    <w:jc w:val="center"/>
                    <w:rPr>
                      <w:szCs w:val="24"/>
                    </w:rPr>
                  </w:pPr>
                </w:p>
                <w:p w14:paraId="6D970DA5" w14:textId="77777777" w:rsidR="00E802C4" w:rsidRDefault="00E802C4" w:rsidP="00E802C4">
                  <w:pPr>
                    <w:keepNext/>
                    <w:jc w:val="center"/>
                    <w:rPr>
                      <w:szCs w:val="24"/>
                    </w:rPr>
                  </w:pPr>
                </w:p>
                <w:p w14:paraId="56F35E63" w14:textId="77777777" w:rsidR="00E802C4" w:rsidRDefault="00E802C4" w:rsidP="00E802C4">
                  <w:pPr>
                    <w:keepNext/>
                    <w:jc w:val="center"/>
                    <w:rPr>
                      <w:szCs w:val="24"/>
                    </w:rPr>
                  </w:pPr>
                </w:p>
                <w:p w14:paraId="5178E816" w14:textId="2FA1BBF1" w:rsidR="008F46AF" w:rsidRDefault="00A72484" w:rsidP="00E802C4">
                  <w:pPr>
                    <w:keepNext/>
                    <w:jc w:val="center"/>
                  </w:pPr>
                  <w:r>
                    <w:t>Jean-Claude MARQUEZ</w:t>
                  </w:r>
                </w:p>
              </w:tc>
            </w:tr>
          </w:tbl>
          <w:p w14:paraId="235670D4" w14:textId="15C99B3F" w:rsidR="00CF51DF" w:rsidRDefault="00CF51DF" w:rsidP="009C670C">
            <w:pPr>
              <w:pStyle w:val="texte1"/>
            </w:pPr>
          </w:p>
        </w:tc>
      </w:tr>
    </w:tbl>
    <w:p w14:paraId="667E98F0" w14:textId="77777777" w:rsidR="00E802C4" w:rsidRDefault="00E802C4" w:rsidP="003475A6"/>
    <w:p w14:paraId="1C87F448" w14:textId="531F45F9" w:rsidR="003A17B7" w:rsidRDefault="003A17B7">
      <w:r>
        <w:br w:type="page"/>
      </w:r>
    </w:p>
    <w:p w14:paraId="71CC46D5" w14:textId="77777777" w:rsidR="003A17B7" w:rsidRDefault="003A17B7" w:rsidP="003A17B7"/>
    <w:p w14:paraId="549478B7" w14:textId="170456F0" w:rsidR="00273338" w:rsidRPr="00A86C6A" w:rsidRDefault="00273338" w:rsidP="00025D9C">
      <w:pPr>
        <w:pStyle w:val="Titre1"/>
        <w:numPr>
          <w:ilvl w:val="0"/>
          <w:numId w:val="0"/>
        </w:numPr>
      </w:pPr>
      <w:bookmarkStart w:id="59" w:name="_Toc33627582"/>
      <w:r w:rsidRPr="00A86C6A">
        <w:t xml:space="preserve">ANNEXE </w:t>
      </w:r>
      <w:r w:rsidR="00A86C6A" w:rsidRPr="00A86C6A">
        <w:t>à</w:t>
      </w:r>
      <w:r w:rsidRPr="00A86C6A">
        <w:t xml:space="preserve"> LA CONVENTION</w:t>
      </w:r>
      <w:bookmarkEnd w:id="59"/>
    </w:p>
    <w:p w14:paraId="1679F03F" w14:textId="46FA5A69" w:rsidR="007D46F1" w:rsidRPr="00A86C6A" w:rsidRDefault="007D46F1" w:rsidP="007D46F1">
      <w:pPr>
        <w:rPr>
          <w:b/>
          <w:sz w:val="28"/>
        </w:rPr>
      </w:pPr>
      <w:r w:rsidRPr="00A86C6A">
        <w:rPr>
          <w:b/>
          <w:sz w:val="28"/>
        </w:rPr>
        <w:t>Extraits de la délibération n°</w:t>
      </w:r>
      <w:r w:rsidR="00D83BA6">
        <w:rPr>
          <w:b/>
          <w:sz w:val="28"/>
        </w:rPr>
        <w:t xml:space="preserve"> </w:t>
      </w:r>
      <w:r w:rsidRPr="00A86C6A">
        <w:rPr>
          <w:b/>
          <w:sz w:val="28"/>
        </w:rPr>
        <w:t>16 du 7 décembre 2017</w:t>
      </w:r>
    </w:p>
    <w:p w14:paraId="5EE7DF24" w14:textId="0D69D565" w:rsidR="00273338" w:rsidRDefault="00273338" w:rsidP="003475A6"/>
    <w:p w14:paraId="302C3200" w14:textId="1034ABB3" w:rsidR="00C66E0B" w:rsidRDefault="00C66E0B" w:rsidP="00BF0A7F">
      <w:pPr>
        <w:jc w:val="center"/>
      </w:pPr>
      <w:r>
        <w:rPr>
          <w:noProof/>
        </w:rPr>
        <w:drawing>
          <wp:inline distT="0" distB="0" distL="0" distR="0" wp14:anchorId="4FABAE7E" wp14:editId="4F97BD88">
            <wp:extent cx="5518362" cy="8121952"/>
            <wp:effectExtent l="19050" t="19050" r="254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88BF06.tmp"/>
                    <pic:cNvPicPr/>
                  </pic:nvPicPr>
                  <pic:blipFill>
                    <a:blip r:embed="rId10">
                      <a:extLst>
                        <a:ext uri="{28A0092B-C50C-407E-A947-70E740481C1C}">
                          <a14:useLocalDpi xmlns:a14="http://schemas.microsoft.com/office/drawing/2010/main" val="0"/>
                        </a:ext>
                      </a:extLst>
                    </a:blip>
                    <a:stretch>
                      <a:fillRect/>
                    </a:stretch>
                  </pic:blipFill>
                  <pic:spPr>
                    <a:xfrm>
                      <a:off x="0" y="0"/>
                      <a:ext cx="5534654" cy="8145930"/>
                    </a:xfrm>
                    <a:prstGeom prst="rect">
                      <a:avLst/>
                    </a:prstGeom>
                    <a:ln>
                      <a:solidFill>
                        <a:schemeClr val="tx1"/>
                      </a:solidFill>
                    </a:ln>
                  </pic:spPr>
                </pic:pic>
              </a:graphicData>
            </a:graphic>
          </wp:inline>
        </w:drawing>
      </w:r>
    </w:p>
    <w:p w14:paraId="1C421C3C" w14:textId="123B3833" w:rsidR="00C66E0B" w:rsidRDefault="00C66E0B" w:rsidP="003475A6"/>
    <w:p w14:paraId="04E7CA88" w14:textId="575BE85D" w:rsidR="00C66E0B" w:rsidRDefault="007D46F1" w:rsidP="007D46F1">
      <w:pPr>
        <w:jc w:val="center"/>
      </w:pPr>
      <w:r>
        <w:rPr>
          <w:noProof/>
        </w:rPr>
        <w:drawing>
          <wp:inline distT="0" distB="0" distL="0" distR="0" wp14:anchorId="7BEE13A5" wp14:editId="5D18C20B">
            <wp:extent cx="5808133" cy="8004733"/>
            <wp:effectExtent l="19050" t="19050" r="21590" b="158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883177.tmp"/>
                    <pic:cNvPicPr/>
                  </pic:nvPicPr>
                  <pic:blipFill>
                    <a:blip r:embed="rId11">
                      <a:extLst>
                        <a:ext uri="{28A0092B-C50C-407E-A947-70E740481C1C}">
                          <a14:useLocalDpi xmlns:a14="http://schemas.microsoft.com/office/drawing/2010/main" val="0"/>
                        </a:ext>
                      </a:extLst>
                    </a:blip>
                    <a:stretch>
                      <a:fillRect/>
                    </a:stretch>
                  </pic:blipFill>
                  <pic:spPr>
                    <a:xfrm>
                      <a:off x="0" y="0"/>
                      <a:ext cx="5820695" cy="8022046"/>
                    </a:xfrm>
                    <a:prstGeom prst="rect">
                      <a:avLst/>
                    </a:prstGeom>
                    <a:ln>
                      <a:solidFill>
                        <a:schemeClr val="tx1"/>
                      </a:solidFill>
                    </a:ln>
                  </pic:spPr>
                </pic:pic>
              </a:graphicData>
            </a:graphic>
          </wp:inline>
        </w:drawing>
      </w:r>
    </w:p>
    <w:p w14:paraId="3F39320E" w14:textId="4B7EFE12" w:rsidR="004E15F8" w:rsidRDefault="004E15F8" w:rsidP="003475A6"/>
    <w:p w14:paraId="61E5CD48" w14:textId="706A2B32" w:rsidR="00A60FDB" w:rsidRDefault="00A60FDB">
      <w:r>
        <w:br w:type="page"/>
      </w:r>
    </w:p>
    <w:p w14:paraId="34080700" w14:textId="6F0D7CF6" w:rsidR="00AA12D2" w:rsidRDefault="00AA12D2" w:rsidP="003475A6"/>
    <w:p w14:paraId="737FCBD2" w14:textId="4969EF6A" w:rsidR="00A60FDB" w:rsidRDefault="00A60FDB" w:rsidP="00A60FDB">
      <w:pPr>
        <w:jc w:val="center"/>
      </w:pPr>
      <w:r>
        <w:rPr>
          <w:noProof/>
        </w:rPr>
        <w:drawing>
          <wp:inline distT="0" distB="0" distL="0" distR="0" wp14:anchorId="00129425" wp14:editId="5AAEEB2C">
            <wp:extent cx="5906633" cy="8695266"/>
            <wp:effectExtent l="19050" t="19050" r="18415" b="1079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881BF7.tmp"/>
                    <pic:cNvPicPr/>
                  </pic:nvPicPr>
                  <pic:blipFill>
                    <a:blip r:embed="rId12">
                      <a:extLst>
                        <a:ext uri="{28A0092B-C50C-407E-A947-70E740481C1C}">
                          <a14:useLocalDpi xmlns:a14="http://schemas.microsoft.com/office/drawing/2010/main" val="0"/>
                        </a:ext>
                      </a:extLst>
                    </a:blip>
                    <a:stretch>
                      <a:fillRect/>
                    </a:stretch>
                  </pic:blipFill>
                  <pic:spPr>
                    <a:xfrm>
                      <a:off x="0" y="0"/>
                      <a:ext cx="5920238" cy="8715294"/>
                    </a:xfrm>
                    <a:prstGeom prst="rect">
                      <a:avLst/>
                    </a:prstGeom>
                    <a:ln>
                      <a:solidFill>
                        <a:schemeClr val="tx1"/>
                      </a:solidFill>
                    </a:ln>
                  </pic:spPr>
                </pic:pic>
              </a:graphicData>
            </a:graphic>
          </wp:inline>
        </w:drawing>
      </w:r>
    </w:p>
    <w:p w14:paraId="1E3FD533" w14:textId="02C17B10" w:rsidR="00A60FDB" w:rsidRDefault="00A60FDB">
      <w:r>
        <w:br w:type="page"/>
      </w:r>
    </w:p>
    <w:p w14:paraId="539AC271" w14:textId="77777777" w:rsidR="00A60FDB" w:rsidRDefault="00A60FDB" w:rsidP="003475A6"/>
    <w:p w14:paraId="7974B982" w14:textId="4AD41776" w:rsidR="00A60FDB" w:rsidRDefault="00A60FDB" w:rsidP="003475A6">
      <w:r>
        <w:rPr>
          <w:noProof/>
        </w:rPr>
        <w:drawing>
          <wp:inline distT="0" distB="0" distL="0" distR="0" wp14:anchorId="4594E4E8" wp14:editId="5F2B9AFE">
            <wp:extent cx="6070600" cy="8817879"/>
            <wp:effectExtent l="0" t="0" r="635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88CFE7.tmp"/>
                    <pic:cNvPicPr/>
                  </pic:nvPicPr>
                  <pic:blipFill>
                    <a:blip r:embed="rId13">
                      <a:extLst>
                        <a:ext uri="{28A0092B-C50C-407E-A947-70E740481C1C}">
                          <a14:useLocalDpi xmlns:a14="http://schemas.microsoft.com/office/drawing/2010/main" val="0"/>
                        </a:ext>
                      </a:extLst>
                    </a:blip>
                    <a:stretch>
                      <a:fillRect/>
                    </a:stretch>
                  </pic:blipFill>
                  <pic:spPr>
                    <a:xfrm>
                      <a:off x="0" y="0"/>
                      <a:ext cx="6081205" cy="8833283"/>
                    </a:xfrm>
                    <a:prstGeom prst="rect">
                      <a:avLst/>
                    </a:prstGeom>
                  </pic:spPr>
                </pic:pic>
              </a:graphicData>
            </a:graphic>
          </wp:inline>
        </w:drawing>
      </w:r>
    </w:p>
    <w:p w14:paraId="28B17273" w14:textId="156EB934" w:rsidR="00A60FDB" w:rsidRDefault="00A60FDB" w:rsidP="003475A6"/>
    <w:p w14:paraId="7F11EBA4" w14:textId="77777777" w:rsidR="00A60FDB" w:rsidRDefault="00A60FDB" w:rsidP="003475A6"/>
    <w:p w14:paraId="6AFEF818" w14:textId="6C00C58D" w:rsidR="00AA12D2" w:rsidRDefault="00C66E0B" w:rsidP="00556362">
      <w:pPr>
        <w:jc w:val="center"/>
      </w:pPr>
      <w:r>
        <w:rPr>
          <w:noProof/>
        </w:rPr>
        <w:drawing>
          <wp:inline distT="0" distB="0" distL="0" distR="0" wp14:anchorId="74A7AC0E" wp14:editId="04B6565E">
            <wp:extent cx="6078735" cy="905933"/>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83CF9.tmp"/>
                    <pic:cNvPicPr/>
                  </pic:nvPicPr>
                  <pic:blipFill rotWithShape="1">
                    <a:blip r:embed="rId14">
                      <a:extLst>
                        <a:ext uri="{28A0092B-C50C-407E-A947-70E740481C1C}">
                          <a14:useLocalDpi xmlns:a14="http://schemas.microsoft.com/office/drawing/2010/main" val="0"/>
                        </a:ext>
                      </a:extLst>
                    </a:blip>
                    <a:srcRect l="10970" r="13563"/>
                    <a:stretch/>
                  </pic:blipFill>
                  <pic:spPr bwMode="auto">
                    <a:xfrm>
                      <a:off x="0" y="0"/>
                      <a:ext cx="6432318" cy="958629"/>
                    </a:xfrm>
                    <a:prstGeom prst="rect">
                      <a:avLst/>
                    </a:prstGeom>
                    <a:ln>
                      <a:noFill/>
                    </a:ln>
                    <a:extLst>
                      <a:ext uri="{53640926-AAD7-44D8-BBD7-CCE9431645EC}">
                        <a14:shadowObscured xmlns:a14="http://schemas.microsoft.com/office/drawing/2010/main"/>
                      </a:ext>
                    </a:extLst>
                  </pic:spPr>
                </pic:pic>
              </a:graphicData>
            </a:graphic>
          </wp:inline>
        </w:drawing>
      </w:r>
    </w:p>
    <w:p w14:paraId="6BED5DA2" w14:textId="268A1C07" w:rsidR="00AA12D2" w:rsidRDefault="00AA12D2" w:rsidP="003475A6"/>
    <w:p w14:paraId="1B6202F3" w14:textId="5828D7C2" w:rsidR="00556362" w:rsidRDefault="00556362" w:rsidP="003475A6">
      <w:r>
        <w:t>…/…</w:t>
      </w:r>
    </w:p>
    <w:p w14:paraId="3007E6A7" w14:textId="77777777" w:rsidR="00556362" w:rsidRDefault="00556362" w:rsidP="003475A6"/>
    <w:p w14:paraId="10421570" w14:textId="41068B8B" w:rsidR="00A86C6A" w:rsidRDefault="00AA12D2" w:rsidP="00795A50">
      <w:pPr>
        <w:jc w:val="center"/>
      </w:pPr>
      <w:r>
        <w:rPr>
          <w:noProof/>
        </w:rPr>
        <w:drawing>
          <wp:inline distT="0" distB="0" distL="0" distR="0" wp14:anchorId="33242ACA" wp14:editId="28575441">
            <wp:extent cx="6123690" cy="1794933"/>
            <wp:effectExtent l="19050" t="19050" r="10795" b="152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86499.tmp"/>
                    <pic:cNvPicPr/>
                  </pic:nvPicPr>
                  <pic:blipFill rotWithShape="1">
                    <a:blip r:embed="rId15">
                      <a:extLst>
                        <a:ext uri="{28A0092B-C50C-407E-A947-70E740481C1C}">
                          <a14:useLocalDpi xmlns:a14="http://schemas.microsoft.com/office/drawing/2010/main" val="0"/>
                        </a:ext>
                      </a:extLst>
                    </a:blip>
                    <a:srcRect l="10099" r="8273"/>
                    <a:stretch/>
                  </pic:blipFill>
                  <pic:spPr bwMode="auto">
                    <a:xfrm>
                      <a:off x="0" y="0"/>
                      <a:ext cx="6172410" cy="180921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23D1D16" w14:textId="77777777" w:rsidR="00A86C6A" w:rsidRDefault="00A86C6A" w:rsidP="003475A6"/>
    <w:sectPr w:rsidR="00A86C6A" w:rsidSect="000C3C2E">
      <w:footerReference w:type="default" r:id="rId16"/>
      <w:pgSz w:w="11906" w:h="16838" w:code="9"/>
      <w:pgMar w:top="1134"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33FE" w14:textId="77777777" w:rsidR="0083684E" w:rsidRDefault="0083684E">
      <w:r>
        <w:separator/>
      </w:r>
    </w:p>
  </w:endnote>
  <w:endnote w:type="continuationSeparator" w:id="0">
    <w:p w14:paraId="5DF266E9" w14:textId="77777777" w:rsidR="0083684E" w:rsidRDefault="0083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ormata 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1070933974"/>
      <w:docPartObj>
        <w:docPartGallery w:val="Page Numbers (Bottom of Page)"/>
        <w:docPartUnique/>
      </w:docPartObj>
    </w:sdtPr>
    <w:sdtEndPr>
      <w:rPr>
        <w:shd w:val="clear" w:color="auto" w:fill="BFBFBF" w:themeFill="background1" w:themeFillShade="BF"/>
      </w:rPr>
    </w:sdtEndPr>
    <w:sdtContent>
      <w:sdt>
        <w:sdtPr>
          <w:rPr>
            <w:b/>
            <w:sz w:val="16"/>
          </w:rPr>
          <w:id w:val="98381352"/>
          <w:docPartObj>
            <w:docPartGallery w:val="Page Numbers (Top of Page)"/>
            <w:docPartUnique/>
          </w:docPartObj>
        </w:sdtPr>
        <w:sdtEndPr>
          <w:rPr>
            <w:shd w:val="clear" w:color="auto" w:fill="BFBFBF" w:themeFill="background1" w:themeFillShade="BF"/>
          </w:rPr>
        </w:sdtEndPr>
        <w:sdtContent>
          <w:p w14:paraId="638DA9E5" w14:textId="5096C760" w:rsidR="005157B1" w:rsidRPr="00F13333" w:rsidRDefault="00F13333" w:rsidP="00B62703">
            <w:pPr>
              <w:shd w:val="clear" w:color="auto" w:fill="BFBFBF" w:themeFill="background1" w:themeFillShade="BF"/>
              <w:tabs>
                <w:tab w:val="right" w:pos="9639"/>
              </w:tabs>
              <w:ind w:right="566"/>
              <w:rPr>
                <w:b/>
                <w:sz w:val="16"/>
                <w:shd w:val="clear" w:color="auto" w:fill="D9D9D9"/>
              </w:rPr>
            </w:pPr>
            <w:r w:rsidRPr="00F13333">
              <w:rPr>
                <w:b/>
                <w:sz w:val="16"/>
                <w:shd w:val="clear" w:color="auto" w:fill="D9D9D9"/>
              </w:rPr>
              <w:t>Convention n°</w:t>
            </w:r>
            <w:r w:rsidR="00690D67">
              <w:rPr>
                <w:b/>
                <w:sz w:val="16"/>
                <w:shd w:val="clear" w:color="auto" w:fill="D9D9D9"/>
              </w:rPr>
              <w:t xml:space="preserve"> </w:t>
            </w:r>
            <w:r w:rsidR="003F7126">
              <w:rPr>
                <w:b/>
                <w:sz w:val="16"/>
                <w:shd w:val="clear" w:color="auto" w:fill="D9D9D9"/>
              </w:rPr>
              <w:t xml:space="preserve">       </w:t>
            </w:r>
            <w:r w:rsidRPr="00F13333">
              <w:rPr>
                <w:b/>
                <w:sz w:val="16"/>
                <w:shd w:val="clear" w:color="auto" w:fill="D9D9D9"/>
              </w:rPr>
              <w:t xml:space="preserve"> –mise en place et exploitation d’un marché</w:t>
            </w:r>
            <w:r w:rsidR="005157B1" w:rsidRPr="00F13333">
              <w:rPr>
                <w:b/>
                <w:sz w:val="16"/>
                <w:shd w:val="clear" w:color="auto" w:fill="D9D9D9"/>
              </w:rPr>
              <w:t xml:space="preserve"> </w:t>
            </w:r>
            <w:r w:rsidRPr="00F13333">
              <w:rPr>
                <w:b/>
                <w:sz w:val="16"/>
                <w:shd w:val="clear" w:color="auto" w:fill="D9D9D9"/>
              </w:rPr>
              <w:t>des producteurs de terroir</w:t>
            </w:r>
            <w:r w:rsidRPr="00F13333">
              <w:rPr>
                <w:b/>
                <w:sz w:val="16"/>
                <w:shd w:val="clear" w:color="auto" w:fill="D9D9D9"/>
              </w:rPr>
              <w:tab/>
            </w:r>
            <w:r w:rsidR="005157B1" w:rsidRPr="00F13333">
              <w:rPr>
                <w:b/>
                <w:sz w:val="16"/>
              </w:rPr>
              <w:t>Page</w:t>
            </w:r>
            <w:r w:rsidR="005157B1" w:rsidRPr="00F13333">
              <w:rPr>
                <w:b/>
                <w:sz w:val="16"/>
                <w:shd w:val="clear" w:color="auto" w:fill="BFBFBF" w:themeFill="background1" w:themeFillShade="BF"/>
              </w:rPr>
              <w:t xml:space="preserve"> </w:t>
            </w:r>
            <w:r w:rsidR="005157B1" w:rsidRPr="00F13333">
              <w:rPr>
                <w:b/>
                <w:sz w:val="16"/>
                <w:shd w:val="clear" w:color="auto" w:fill="BFBFBF" w:themeFill="background1" w:themeFillShade="BF"/>
              </w:rPr>
              <w:fldChar w:fldCharType="begin"/>
            </w:r>
            <w:r w:rsidR="005157B1" w:rsidRPr="00F13333">
              <w:rPr>
                <w:b/>
                <w:sz w:val="16"/>
                <w:shd w:val="clear" w:color="auto" w:fill="BFBFBF" w:themeFill="background1" w:themeFillShade="BF"/>
              </w:rPr>
              <w:instrText>PAGE</w:instrText>
            </w:r>
            <w:r w:rsidR="005157B1" w:rsidRPr="00F13333">
              <w:rPr>
                <w:b/>
                <w:sz w:val="16"/>
                <w:shd w:val="clear" w:color="auto" w:fill="BFBFBF" w:themeFill="background1" w:themeFillShade="BF"/>
              </w:rPr>
              <w:fldChar w:fldCharType="separate"/>
            </w:r>
            <w:r w:rsidR="00A95315">
              <w:rPr>
                <w:b/>
                <w:noProof/>
                <w:sz w:val="16"/>
                <w:shd w:val="clear" w:color="auto" w:fill="BFBFBF" w:themeFill="background1" w:themeFillShade="BF"/>
              </w:rPr>
              <w:t>1</w:t>
            </w:r>
            <w:r w:rsidR="005157B1" w:rsidRPr="00F13333">
              <w:rPr>
                <w:b/>
                <w:sz w:val="16"/>
                <w:shd w:val="clear" w:color="auto" w:fill="BFBFBF" w:themeFill="background1" w:themeFillShade="BF"/>
              </w:rPr>
              <w:fldChar w:fldCharType="end"/>
            </w:r>
            <w:r w:rsidR="005157B1" w:rsidRPr="00F13333">
              <w:rPr>
                <w:b/>
                <w:sz w:val="16"/>
                <w:shd w:val="clear" w:color="auto" w:fill="BFBFBF" w:themeFill="background1" w:themeFillShade="BF"/>
              </w:rPr>
              <w:t xml:space="preserve"> sur </w:t>
            </w:r>
            <w:r w:rsidR="005157B1" w:rsidRPr="00F13333">
              <w:rPr>
                <w:b/>
                <w:sz w:val="16"/>
                <w:shd w:val="clear" w:color="auto" w:fill="BFBFBF" w:themeFill="background1" w:themeFillShade="BF"/>
              </w:rPr>
              <w:fldChar w:fldCharType="begin"/>
            </w:r>
            <w:r w:rsidR="005157B1" w:rsidRPr="00F13333">
              <w:rPr>
                <w:b/>
                <w:sz w:val="16"/>
                <w:shd w:val="clear" w:color="auto" w:fill="BFBFBF" w:themeFill="background1" w:themeFillShade="BF"/>
              </w:rPr>
              <w:instrText>NUMPAGES</w:instrText>
            </w:r>
            <w:r w:rsidR="005157B1" w:rsidRPr="00F13333">
              <w:rPr>
                <w:b/>
                <w:sz w:val="16"/>
                <w:shd w:val="clear" w:color="auto" w:fill="BFBFBF" w:themeFill="background1" w:themeFillShade="BF"/>
              </w:rPr>
              <w:fldChar w:fldCharType="separate"/>
            </w:r>
            <w:r w:rsidR="00A95315">
              <w:rPr>
                <w:b/>
                <w:noProof/>
                <w:sz w:val="16"/>
                <w:shd w:val="clear" w:color="auto" w:fill="BFBFBF" w:themeFill="background1" w:themeFillShade="BF"/>
              </w:rPr>
              <w:t>14</w:t>
            </w:r>
            <w:r w:rsidR="005157B1" w:rsidRPr="00F13333">
              <w:rPr>
                <w:b/>
                <w:sz w:val="16"/>
                <w:shd w:val="clear" w:color="auto" w:fill="BFBFBF" w:themeFill="background1" w:themeFillShade="B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0740" w14:textId="77777777" w:rsidR="0083684E" w:rsidRDefault="0083684E">
      <w:r>
        <w:separator/>
      </w:r>
    </w:p>
  </w:footnote>
  <w:footnote w:type="continuationSeparator" w:id="0">
    <w:p w14:paraId="0CE0EBF7" w14:textId="77777777" w:rsidR="0083684E" w:rsidRDefault="00836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0C"/>
    <w:multiLevelType w:val="hybridMultilevel"/>
    <w:tmpl w:val="35320CB2"/>
    <w:lvl w:ilvl="0" w:tplc="040C0001">
      <w:start w:val="1"/>
      <w:numFmt w:val="bullet"/>
      <w:lvlText w:val=""/>
      <w:lvlJc w:val="left"/>
      <w:pPr>
        <w:ind w:left="738" w:hanging="360"/>
      </w:pPr>
      <w:rPr>
        <w:rFonts w:ascii="Symbol" w:hAnsi="Symbol" w:hint="default"/>
      </w:rPr>
    </w:lvl>
    <w:lvl w:ilvl="1" w:tplc="040C0003">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1" w15:restartNumberingAfterBreak="0">
    <w:nsid w:val="045B4DF4"/>
    <w:multiLevelType w:val="multilevel"/>
    <w:tmpl w:val="61182F12"/>
    <w:lvl w:ilvl="0">
      <w:start w:val="1"/>
      <w:numFmt w:val="decimal"/>
      <w:lvlText w:val="ARTICLE %1"/>
      <w:lvlJc w:val="left"/>
      <w:pPr>
        <w:tabs>
          <w:tab w:val="num" w:pos="1440"/>
        </w:tabs>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A74EA7"/>
    <w:multiLevelType w:val="hybridMultilevel"/>
    <w:tmpl w:val="45007736"/>
    <w:lvl w:ilvl="0" w:tplc="040C0003">
      <w:start w:val="1"/>
      <w:numFmt w:val="bullet"/>
      <w:lvlText w:val="o"/>
      <w:lvlJc w:val="left"/>
      <w:pPr>
        <w:ind w:left="2178" w:hanging="360"/>
      </w:pPr>
      <w:rPr>
        <w:rFonts w:ascii="Courier New" w:hAnsi="Courier New" w:cs="Courier New" w:hint="default"/>
      </w:rPr>
    </w:lvl>
    <w:lvl w:ilvl="1" w:tplc="040C0003" w:tentative="1">
      <w:start w:val="1"/>
      <w:numFmt w:val="bullet"/>
      <w:lvlText w:val="o"/>
      <w:lvlJc w:val="left"/>
      <w:pPr>
        <w:ind w:left="2898" w:hanging="360"/>
      </w:pPr>
      <w:rPr>
        <w:rFonts w:ascii="Courier New" w:hAnsi="Courier New" w:cs="Courier New" w:hint="default"/>
      </w:rPr>
    </w:lvl>
    <w:lvl w:ilvl="2" w:tplc="040C0005" w:tentative="1">
      <w:start w:val="1"/>
      <w:numFmt w:val="bullet"/>
      <w:lvlText w:val=""/>
      <w:lvlJc w:val="left"/>
      <w:pPr>
        <w:ind w:left="3618" w:hanging="360"/>
      </w:pPr>
      <w:rPr>
        <w:rFonts w:ascii="Wingdings" w:hAnsi="Wingdings" w:hint="default"/>
      </w:rPr>
    </w:lvl>
    <w:lvl w:ilvl="3" w:tplc="040C0001" w:tentative="1">
      <w:start w:val="1"/>
      <w:numFmt w:val="bullet"/>
      <w:lvlText w:val=""/>
      <w:lvlJc w:val="left"/>
      <w:pPr>
        <w:ind w:left="4338" w:hanging="360"/>
      </w:pPr>
      <w:rPr>
        <w:rFonts w:ascii="Symbol" w:hAnsi="Symbol" w:hint="default"/>
      </w:rPr>
    </w:lvl>
    <w:lvl w:ilvl="4" w:tplc="040C0003" w:tentative="1">
      <w:start w:val="1"/>
      <w:numFmt w:val="bullet"/>
      <w:lvlText w:val="o"/>
      <w:lvlJc w:val="left"/>
      <w:pPr>
        <w:ind w:left="5058" w:hanging="360"/>
      </w:pPr>
      <w:rPr>
        <w:rFonts w:ascii="Courier New" w:hAnsi="Courier New" w:cs="Courier New" w:hint="default"/>
      </w:rPr>
    </w:lvl>
    <w:lvl w:ilvl="5" w:tplc="040C0005" w:tentative="1">
      <w:start w:val="1"/>
      <w:numFmt w:val="bullet"/>
      <w:lvlText w:val=""/>
      <w:lvlJc w:val="left"/>
      <w:pPr>
        <w:ind w:left="5778" w:hanging="360"/>
      </w:pPr>
      <w:rPr>
        <w:rFonts w:ascii="Wingdings" w:hAnsi="Wingdings" w:hint="default"/>
      </w:rPr>
    </w:lvl>
    <w:lvl w:ilvl="6" w:tplc="040C0001" w:tentative="1">
      <w:start w:val="1"/>
      <w:numFmt w:val="bullet"/>
      <w:lvlText w:val=""/>
      <w:lvlJc w:val="left"/>
      <w:pPr>
        <w:ind w:left="6498" w:hanging="360"/>
      </w:pPr>
      <w:rPr>
        <w:rFonts w:ascii="Symbol" w:hAnsi="Symbol" w:hint="default"/>
      </w:rPr>
    </w:lvl>
    <w:lvl w:ilvl="7" w:tplc="040C0003" w:tentative="1">
      <w:start w:val="1"/>
      <w:numFmt w:val="bullet"/>
      <w:lvlText w:val="o"/>
      <w:lvlJc w:val="left"/>
      <w:pPr>
        <w:ind w:left="7218" w:hanging="360"/>
      </w:pPr>
      <w:rPr>
        <w:rFonts w:ascii="Courier New" w:hAnsi="Courier New" w:cs="Courier New" w:hint="default"/>
      </w:rPr>
    </w:lvl>
    <w:lvl w:ilvl="8" w:tplc="040C0005" w:tentative="1">
      <w:start w:val="1"/>
      <w:numFmt w:val="bullet"/>
      <w:lvlText w:val=""/>
      <w:lvlJc w:val="left"/>
      <w:pPr>
        <w:ind w:left="7938" w:hanging="360"/>
      </w:pPr>
      <w:rPr>
        <w:rFonts w:ascii="Wingdings" w:hAnsi="Wingdings" w:hint="default"/>
      </w:rPr>
    </w:lvl>
  </w:abstractNum>
  <w:abstractNum w:abstractNumId="3" w15:restartNumberingAfterBreak="0">
    <w:nsid w:val="0AF166C8"/>
    <w:multiLevelType w:val="multilevel"/>
    <w:tmpl w:val="0F049050"/>
    <w:lvl w:ilvl="0">
      <w:start w:val="1"/>
      <w:numFmt w:val="decimal"/>
      <w:pStyle w:val="Titre1"/>
      <w:lvlText w:val="ARTICLE %1"/>
      <w:lvlJc w:val="left"/>
      <w:pPr>
        <w:tabs>
          <w:tab w:val="num" w:pos="1440"/>
        </w:tabs>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1002"/>
        </w:tabs>
        <w:ind w:left="1002" w:hanging="576"/>
      </w:pPr>
      <w:rPr>
        <w:rFonts w:hint="default"/>
        <w:color w:val="auto"/>
      </w:rPr>
    </w:lvl>
    <w:lvl w:ilvl="2">
      <w:start w:val="1"/>
      <w:numFmt w:val="decimal"/>
      <w:pStyle w:val="Titre3"/>
      <w:lvlText w:val="%1.%2.%3"/>
      <w:lvlJc w:val="left"/>
      <w:pPr>
        <w:tabs>
          <w:tab w:val="num" w:pos="720"/>
        </w:tabs>
        <w:ind w:left="72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12016293"/>
    <w:multiLevelType w:val="hybridMultilevel"/>
    <w:tmpl w:val="B40EFE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643CF"/>
    <w:multiLevelType w:val="multilevel"/>
    <w:tmpl w:val="6CCADC8C"/>
    <w:lvl w:ilvl="0">
      <w:start w:val="1"/>
      <w:numFmt w:val="decimal"/>
      <w:lvlText w:val="Article %1"/>
      <w:lvlJc w:val="left"/>
      <w:pPr>
        <w:tabs>
          <w:tab w:val="num" w:pos="1724"/>
        </w:tabs>
        <w:ind w:left="851" w:hanging="567"/>
      </w:pPr>
    </w:lvl>
    <w:lvl w:ilvl="1">
      <w:start w:val="1"/>
      <w:numFmt w:val="decimal"/>
      <w:lvlText w:val="%1-%2-"/>
      <w:lvlJc w:val="left"/>
      <w:pPr>
        <w:tabs>
          <w:tab w:val="num" w:pos="1287"/>
        </w:tabs>
        <w:ind w:left="567" w:firstLine="0"/>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AC47671"/>
    <w:multiLevelType w:val="hybridMultilevel"/>
    <w:tmpl w:val="4DE85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53534"/>
    <w:multiLevelType w:val="hybridMultilevel"/>
    <w:tmpl w:val="05B43674"/>
    <w:lvl w:ilvl="0" w:tplc="50C87D5E">
      <w:start w:val="1"/>
      <w:numFmt w:val="bullet"/>
      <w:pStyle w:val="texte3"/>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2D2B0A9A"/>
    <w:multiLevelType w:val="hybridMultilevel"/>
    <w:tmpl w:val="617C4286"/>
    <w:lvl w:ilvl="0" w:tplc="778CABEC">
      <w:start w:val="1"/>
      <w:numFmt w:val="bullet"/>
      <w:lvlText w:val="-"/>
      <w:lvlJc w:val="left"/>
      <w:pPr>
        <w:ind w:left="1494" w:hanging="360"/>
      </w:pPr>
      <w:rPr>
        <w:rFonts w:ascii="Comic Sans MS" w:hAnsi="Comic Sans MS" w:hint="default"/>
      </w:rPr>
    </w:lvl>
    <w:lvl w:ilvl="1" w:tplc="040C0003">
      <w:start w:val="1"/>
      <w:numFmt w:val="bullet"/>
      <w:lvlText w:val="o"/>
      <w:lvlJc w:val="left"/>
      <w:pPr>
        <w:ind w:left="2214" w:hanging="360"/>
      </w:pPr>
      <w:rPr>
        <w:rFonts w:ascii="Courier New" w:hAnsi="Courier New" w:cs="Courier New" w:hint="default"/>
      </w:rPr>
    </w:lvl>
    <w:lvl w:ilvl="2" w:tplc="59E04AF6">
      <w:numFmt w:val="bullet"/>
      <w:lvlText w:val="–"/>
      <w:lvlJc w:val="left"/>
      <w:pPr>
        <w:ind w:left="2934" w:hanging="360"/>
      </w:pPr>
      <w:rPr>
        <w:rFonts w:ascii="Times" w:eastAsia="Times New Roman" w:hAnsi="Times" w:cs="Time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2FC55A57"/>
    <w:multiLevelType w:val="hybridMultilevel"/>
    <w:tmpl w:val="F3F0E6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7A55F6"/>
    <w:multiLevelType w:val="multilevel"/>
    <w:tmpl w:val="F6E2CE92"/>
    <w:lvl w:ilvl="0">
      <w:start w:val="1"/>
      <w:numFmt w:val="decimal"/>
      <w:lvlText w:val="Article %1."/>
      <w:lvlJc w:val="left"/>
      <w:pPr>
        <w:tabs>
          <w:tab w:val="num" w:pos="1440"/>
        </w:tabs>
        <w:ind w:left="567" w:hanging="567"/>
      </w:pPr>
    </w:lvl>
    <w:lvl w:ilvl="1">
      <w:start w:val="1"/>
      <w:numFmt w:val="decimal"/>
      <w:lvlText w:val="%1-%2- "/>
      <w:lvlJc w:val="left"/>
      <w:pPr>
        <w:tabs>
          <w:tab w:val="num" w:pos="1287"/>
        </w:tabs>
        <w:ind w:left="792" w:hanging="225"/>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D03665A"/>
    <w:multiLevelType w:val="hybridMultilevel"/>
    <w:tmpl w:val="91F4AF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8C5DAA"/>
    <w:multiLevelType w:val="hybridMultilevel"/>
    <w:tmpl w:val="B936F3EC"/>
    <w:lvl w:ilvl="0" w:tplc="33268826">
      <w:start w:val="1"/>
      <w:numFmt w:val="bullet"/>
      <w:pStyle w:val="texte2"/>
      <w:lvlText w:val=""/>
      <w:lvlJc w:val="left"/>
      <w:pPr>
        <w:ind w:left="1840" w:hanging="360"/>
      </w:pPr>
      <w:rPr>
        <w:rFonts w:ascii="Symbol" w:hAnsi="Symbol" w:hint="default"/>
        <w:color w:val="auto"/>
      </w:rPr>
    </w:lvl>
    <w:lvl w:ilvl="1" w:tplc="040C0003" w:tentative="1">
      <w:start w:val="1"/>
      <w:numFmt w:val="bullet"/>
      <w:lvlText w:val="o"/>
      <w:lvlJc w:val="left"/>
      <w:pPr>
        <w:ind w:left="2560" w:hanging="360"/>
      </w:pPr>
      <w:rPr>
        <w:rFonts w:ascii="Courier New" w:hAnsi="Courier New" w:cs="Courier New" w:hint="default"/>
      </w:rPr>
    </w:lvl>
    <w:lvl w:ilvl="2" w:tplc="040C0005" w:tentative="1">
      <w:start w:val="1"/>
      <w:numFmt w:val="bullet"/>
      <w:lvlText w:val=""/>
      <w:lvlJc w:val="left"/>
      <w:pPr>
        <w:ind w:left="3280" w:hanging="360"/>
      </w:pPr>
      <w:rPr>
        <w:rFonts w:ascii="Wingdings" w:hAnsi="Wingdings" w:hint="default"/>
      </w:rPr>
    </w:lvl>
    <w:lvl w:ilvl="3" w:tplc="040C0001" w:tentative="1">
      <w:start w:val="1"/>
      <w:numFmt w:val="bullet"/>
      <w:lvlText w:val=""/>
      <w:lvlJc w:val="left"/>
      <w:pPr>
        <w:ind w:left="4000" w:hanging="360"/>
      </w:pPr>
      <w:rPr>
        <w:rFonts w:ascii="Symbol" w:hAnsi="Symbol" w:hint="default"/>
      </w:rPr>
    </w:lvl>
    <w:lvl w:ilvl="4" w:tplc="040C0003" w:tentative="1">
      <w:start w:val="1"/>
      <w:numFmt w:val="bullet"/>
      <w:lvlText w:val="o"/>
      <w:lvlJc w:val="left"/>
      <w:pPr>
        <w:ind w:left="4720" w:hanging="360"/>
      </w:pPr>
      <w:rPr>
        <w:rFonts w:ascii="Courier New" w:hAnsi="Courier New" w:cs="Courier New" w:hint="default"/>
      </w:rPr>
    </w:lvl>
    <w:lvl w:ilvl="5" w:tplc="040C0005" w:tentative="1">
      <w:start w:val="1"/>
      <w:numFmt w:val="bullet"/>
      <w:lvlText w:val=""/>
      <w:lvlJc w:val="left"/>
      <w:pPr>
        <w:ind w:left="5440" w:hanging="360"/>
      </w:pPr>
      <w:rPr>
        <w:rFonts w:ascii="Wingdings" w:hAnsi="Wingdings" w:hint="default"/>
      </w:rPr>
    </w:lvl>
    <w:lvl w:ilvl="6" w:tplc="040C0001" w:tentative="1">
      <w:start w:val="1"/>
      <w:numFmt w:val="bullet"/>
      <w:lvlText w:val=""/>
      <w:lvlJc w:val="left"/>
      <w:pPr>
        <w:ind w:left="6160" w:hanging="360"/>
      </w:pPr>
      <w:rPr>
        <w:rFonts w:ascii="Symbol" w:hAnsi="Symbol" w:hint="default"/>
      </w:rPr>
    </w:lvl>
    <w:lvl w:ilvl="7" w:tplc="040C0003" w:tentative="1">
      <w:start w:val="1"/>
      <w:numFmt w:val="bullet"/>
      <w:lvlText w:val="o"/>
      <w:lvlJc w:val="left"/>
      <w:pPr>
        <w:ind w:left="6880" w:hanging="360"/>
      </w:pPr>
      <w:rPr>
        <w:rFonts w:ascii="Courier New" w:hAnsi="Courier New" w:cs="Courier New" w:hint="default"/>
      </w:rPr>
    </w:lvl>
    <w:lvl w:ilvl="8" w:tplc="040C0005" w:tentative="1">
      <w:start w:val="1"/>
      <w:numFmt w:val="bullet"/>
      <w:lvlText w:val=""/>
      <w:lvlJc w:val="left"/>
      <w:pPr>
        <w:ind w:left="7600" w:hanging="360"/>
      </w:pPr>
      <w:rPr>
        <w:rFonts w:ascii="Wingdings" w:hAnsi="Wingdings" w:hint="default"/>
      </w:rPr>
    </w:lvl>
  </w:abstractNum>
  <w:abstractNum w:abstractNumId="13" w15:restartNumberingAfterBreak="0">
    <w:nsid w:val="430E42AF"/>
    <w:multiLevelType w:val="hybridMultilevel"/>
    <w:tmpl w:val="C638E1A4"/>
    <w:lvl w:ilvl="0" w:tplc="040C0001">
      <w:start w:val="1"/>
      <w:numFmt w:val="bullet"/>
      <w:lvlText w:val=""/>
      <w:lvlJc w:val="left"/>
      <w:pPr>
        <w:ind w:left="738" w:hanging="360"/>
      </w:pPr>
      <w:rPr>
        <w:rFonts w:ascii="Symbol" w:hAnsi="Symbol"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14" w15:restartNumberingAfterBreak="0">
    <w:nsid w:val="6C8C0AE5"/>
    <w:multiLevelType w:val="hybridMultilevel"/>
    <w:tmpl w:val="EC74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6315F3"/>
    <w:multiLevelType w:val="hybridMultilevel"/>
    <w:tmpl w:val="8A403C18"/>
    <w:lvl w:ilvl="0" w:tplc="42C4DD02">
      <w:numFmt w:val="bullet"/>
      <w:lvlText w:val="•"/>
      <w:lvlJc w:val="left"/>
      <w:pPr>
        <w:ind w:left="1065" w:hanging="705"/>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0B2572"/>
    <w:multiLevelType w:val="multilevel"/>
    <w:tmpl w:val="61182F12"/>
    <w:lvl w:ilvl="0">
      <w:start w:val="1"/>
      <w:numFmt w:val="decimal"/>
      <w:lvlText w:val="ARTICLE %1"/>
      <w:lvlJc w:val="left"/>
      <w:pPr>
        <w:tabs>
          <w:tab w:val="num" w:pos="1440"/>
        </w:tabs>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ascii="Times New Roman" w:hAnsi="Times New Roman"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84FA6"/>
    <w:multiLevelType w:val="hybridMultilevel"/>
    <w:tmpl w:val="BADAB2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AA085E"/>
    <w:multiLevelType w:val="singleLevel"/>
    <w:tmpl w:val="3AF41AB4"/>
    <w:lvl w:ilvl="0">
      <w:start w:val="8"/>
      <w:numFmt w:val="bullet"/>
      <w:lvlText w:val="-"/>
      <w:lvlJc w:val="left"/>
      <w:pPr>
        <w:tabs>
          <w:tab w:val="num" w:pos="360"/>
        </w:tabs>
        <w:ind w:left="360" w:hanging="360"/>
      </w:pPr>
      <w:rPr>
        <w:rFonts w:hint="default"/>
      </w:rPr>
    </w:lvl>
  </w:abstractNum>
  <w:num w:numId="1" w16cid:durableId="386072878">
    <w:abstractNumId w:val="3"/>
  </w:num>
  <w:num w:numId="2" w16cid:durableId="1312949630">
    <w:abstractNumId w:val="18"/>
  </w:num>
  <w:num w:numId="3" w16cid:durableId="1761944439">
    <w:abstractNumId w:val="11"/>
  </w:num>
  <w:num w:numId="4" w16cid:durableId="651640382">
    <w:abstractNumId w:val="15"/>
  </w:num>
  <w:num w:numId="5" w16cid:durableId="719405241">
    <w:abstractNumId w:val="13"/>
  </w:num>
  <w:num w:numId="6" w16cid:durableId="208810994">
    <w:abstractNumId w:val="0"/>
  </w:num>
  <w:num w:numId="7" w16cid:durableId="1296184015">
    <w:abstractNumId w:val="6"/>
  </w:num>
  <w:num w:numId="8" w16cid:durableId="148133713">
    <w:abstractNumId w:val="4"/>
  </w:num>
  <w:num w:numId="9" w16cid:durableId="34431199">
    <w:abstractNumId w:val="2"/>
  </w:num>
  <w:num w:numId="10" w16cid:durableId="729155045">
    <w:abstractNumId w:val="17"/>
  </w:num>
  <w:num w:numId="11" w16cid:durableId="2105415805">
    <w:abstractNumId w:val="14"/>
  </w:num>
  <w:num w:numId="12" w16cid:durableId="1928070895">
    <w:abstractNumId w:val="9"/>
  </w:num>
  <w:num w:numId="13" w16cid:durableId="1587034884">
    <w:abstractNumId w:val="10"/>
  </w:num>
  <w:num w:numId="14" w16cid:durableId="1387336451">
    <w:abstractNumId w:val="12"/>
  </w:num>
  <w:num w:numId="15" w16cid:durableId="849611667">
    <w:abstractNumId w:val="7"/>
  </w:num>
  <w:num w:numId="16" w16cid:durableId="1573156514">
    <w:abstractNumId w:val="16"/>
  </w:num>
  <w:num w:numId="17" w16cid:durableId="820004269">
    <w:abstractNumId w:val="1"/>
  </w:num>
  <w:num w:numId="18" w16cid:durableId="2138983713">
    <w:abstractNumId w:val="3"/>
  </w:num>
  <w:num w:numId="19" w16cid:durableId="675572968">
    <w:abstractNumId w:val="3"/>
  </w:num>
  <w:num w:numId="20" w16cid:durableId="216741817">
    <w:abstractNumId w:val="3"/>
  </w:num>
  <w:num w:numId="21" w16cid:durableId="691151994">
    <w:abstractNumId w:val="3"/>
  </w:num>
  <w:num w:numId="22" w16cid:durableId="2054963253">
    <w:abstractNumId w:val="3"/>
  </w:num>
  <w:num w:numId="23" w16cid:durableId="212813525">
    <w:abstractNumId w:val="3"/>
  </w:num>
  <w:num w:numId="24" w16cid:durableId="1115633500">
    <w:abstractNumId w:val="3"/>
  </w:num>
  <w:num w:numId="25" w16cid:durableId="1280918733">
    <w:abstractNumId w:val="8"/>
  </w:num>
  <w:num w:numId="26" w16cid:durableId="1203517664">
    <w:abstractNumId w:val="3"/>
  </w:num>
  <w:num w:numId="27" w16cid:durableId="860897915">
    <w:abstractNumId w:val="12"/>
  </w:num>
  <w:num w:numId="28" w16cid:durableId="14515086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5417677">
    <w:abstractNumId w:val="5"/>
  </w:num>
  <w:num w:numId="30" w16cid:durableId="154320324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C5"/>
    <w:rsid w:val="0000075C"/>
    <w:rsid w:val="000011CD"/>
    <w:rsid w:val="000040F7"/>
    <w:rsid w:val="00004258"/>
    <w:rsid w:val="00012DBC"/>
    <w:rsid w:val="00013598"/>
    <w:rsid w:val="00014E15"/>
    <w:rsid w:val="0002301C"/>
    <w:rsid w:val="00025D9C"/>
    <w:rsid w:val="000302BC"/>
    <w:rsid w:val="00030A70"/>
    <w:rsid w:val="00034386"/>
    <w:rsid w:val="00034D96"/>
    <w:rsid w:val="000408E3"/>
    <w:rsid w:val="00043469"/>
    <w:rsid w:val="00043864"/>
    <w:rsid w:val="0004582E"/>
    <w:rsid w:val="00050760"/>
    <w:rsid w:val="00051E4B"/>
    <w:rsid w:val="00057509"/>
    <w:rsid w:val="000600E6"/>
    <w:rsid w:val="00062587"/>
    <w:rsid w:val="000713F0"/>
    <w:rsid w:val="00072437"/>
    <w:rsid w:val="00076151"/>
    <w:rsid w:val="000824E2"/>
    <w:rsid w:val="0008314B"/>
    <w:rsid w:val="0009128C"/>
    <w:rsid w:val="00092EDE"/>
    <w:rsid w:val="0009368C"/>
    <w:rsid w:val="0009580A"/>
    <w:rsid w:val="000A0409"/>
    <w:rsid w:val="000A142B"/>
    <w:rsid w:val="000A1BB2"/>
    <w:rsid w:val="000A4EB8"/>
    <w:rsid w:val="000A529A"/>
    <w:rsid w:val="000A5340"/>
    <w:rsid w:val="000A59F5"/>
    <w:rsid w:val="000A5AC5"/>
    <w:rsid w:val="000A7F75"/>
    <w:rsid w:val="000B0359"/>
    <w:rsid w:val="000B3BE7"/>
    <w:rsid w:val="000B3CE6"/>
    <w:rsid w:val="000B4E22"/>
    <w:rsid w:val="000B5F41"/>
    <w:rsid w:val="000C1A73"/>
    <w:rsid w:val="000C3C2E"/>
    <w:rsid w:val="000C5597"/>
    <w:rsid w:val="000C7029"/>
    <w:rsid w:val="000C75D8"/>
    <w:rsid w:val="000C77B9"/>
    <w:rsid w:val="000D6A09"/>
    <w:rsid w:val="000E35AF"/>
    <w:rsid w:val="000E7A92"/>
    <w:rsid w:val="000F0611"/>
    <w:rsid w:val="000F3BAC"/>
    <w:rsid w:val="000F4F39"/>
    <w:rsid w:val="000F5EF6"/>
    <w:rsid w:val="000F79F5"/>
    <w:rsid w:val="000F7EC3"/>
    <w:rsid w:val="00102B20"/>
    <w:rsid w:val="00103A87"/>
    <w:rsid w:val="0010756A"/>
    <w:rsid w:val="0011014E"/>
    <w:rsid w:val="001113EF"/>
    <w:rsid w:val="00113FFD"/>
    <w:rsid w:val="00116D89"/>
    <w:rsid w:val="00120506"/>
    <w:rsid w:val="00123588"/>
    <w:rsid w:val="00123AF6"/>
    <w:rsid w:val="001244F1"/>
    <w:rsid w:val="00125F62"/>
    <w:rsid w:val="001267CC"/>
    <w:rsid w:val="00127AAA"/>
    <w:rsid w:val="00133EC2"/>
    <w:rsid w:val="00134740"/>
    <w:rsid w:val="00135193"/>
    <w:rsid w:val="00141AE8"/>
    <w:rsid w:val="00145301"/>
    <w:rsid w:val="00147038"/>
    <w:rsid w:val="001574ED"/>
    <w:rsid w:val="001707A9"/>
    <w:rsid w:val="001726F1"/>
    <w:rsid w:val="00175774"/>
    <w:rsid w:val="00176BBB"/>
    <w:rsid w:val="00176CBA"/>
    <w:rsid w:val="00181F91"/>
    <w:rsid w:val="00182B0A"/>
    <w:rsid w:val="001841AE"/>
    <w:rsid w:val="001878D9"/>
    <w:rsid w:val="00191E4A"/>
    <w:rsid w:val="00192DB3"/>
    <w:rsid w:val="001962E1"/>
    <w:rsid w:val="00196AF1"/>
    <w:rsid w:val="001970A8"/>
    <w:rsid w:val="001A1C4C"/>
    <w:rsid w:val="001A5347"/>
    <w:rsid w:val="001B519E"/>
    <w:rsid w:val="001B7BD0"/>
    <w:rsid w:val="001C3907"/>
    <w:rsid w:val="001D2AD3"/>
    <w:rsid w:val="001D410A"/>
    <w:rsid w:val="001D4C0E"/>
    <w:rsid w:val="001D5704"/>
    <w:rsid w:val="001D6F48"/>
    <w:rsid w:val="001E193A"/>
    <w:rsid w:val="001E2ED6"/>
    <w:rsid w:val="001E30E5"/>
    <w:rsid w:val="001E3C69"/>
    <w:rsid w:val="001E671D"/>
    <w:rsid w:val="001E7C0D"/>
    <w:rsid w:val="001F389F"/>
    <w:rsid w:val="001F459E"/>
    <w:rsid w:val="0020005E"/>
    <w:rsid w:val="002039F1"/>
    <w:rsid w:val="00204255"/>
    <w:rsid w:val="002100F8"/>
    <w:rsid w:val="002119FE"/>
    <w:rsid w:val="00211B01"/>
    <w:rsid w:val="002139CF"/>
    <w:rsid w:val="00215E19"/>
    <w:rsid w:val="00216D81"/>
    <w:rsid w:val="00217790"/>
    <w:rsid w:val="00226A0D"/>
    <w:rsid w:val="00231F1D"/>
    <w:rsid w:val="00236510"/>
    <w:rsid w:val="00237303"/>
    <w:rsid w:val="002375AE"/>
    <w:rsid w:val="0024658C"/>
    <w:rsid w:val="002474A1"/>
    <w:rsid w:val="00251BEA"/>
    <w:rsid w:val="002521CE"/>
    <w:rsid w:val="0025253B"/>
    <w:rsid w:val="0025270F"/>
    <w:rsid w:val="00253521"/>
    <w:rsid w:val="00266FBC"/>
    <w:rsid w:val="0027136B"/>
    <w:rsid w:val="00273338"/>
    <w:rsid w:val="0027379A"/>
    <w:rsid w:val="00276C2F"/>
    <w:rsid w:val="00276D32"/>
    <w:rsid w:val="00277FBE"/>
    <w:rsid w:val="00285A2F"/>
    <w:rsid w:val="002872BE"/>
    <w:rsid w:val="00291C96"/>
    <w:rsid w:val="0029290F"/>
    <w:rsid w:val="00293A3B"/>
    <w:rsid w:val="00293C94"/>
    <w:rsid w:val="002943F5"/>
    <w:rsid w:val="002A07CF"/>
    <w:rsid w:val="002A3D71"/>
    <w:rsid w:val="002B13C1"/>
    <w:rsid w:val="002B22C0"/>
    <w:rsid w:val="002B5003"/>
    <w:rsid w:val="002B6C6B"/>
    <w:rsid w:val="002C75C4"/>
    <w:rsid w:val="002D5DCE"/>
    <w:rsid w:val="002D61C4"/>
    <w:rsid w:val="002D61D1"/>
    <w:rsid w:val="002D7BA5"/>
    <w:rsid w:val="002D7F31"/>
    <w:rsid w:val="002E69C2"/>
    <w:rsid w:val="002F16BA"/>
    <w:rsid w:val="00302BD5"/>
    <w:rsid w:val="00317EF8"/>
    <w:rsid w:val="00324669"/>
    <w:rsid w:val="00330349"/>
    <w:rsid w:val="0033234D"/>
    <w:rsid w:val="003353DB"/>
    <w:rsid w:val="0033628A"/>
    <w:rsid w:val="003363BE"/>
    <w:rsid w:val="00337CCC"/>
    <w:rsid w:val="00344B10"/>
    <w:rsid w:val="003475A6"/>
    <w:rsid w:val="0035336D"/>
    <w:rsid w:val="00355A03"/>
    <w:rsid w:val="003654C7"/>
    <w:rsid w:val="00367DEE"/>
    <w:rsid w:val="003709B9"/>
    <w:rsid w:val="0037365F"/>
    <w:rsid w:val="003751FF"/>
    <w:rsid w:val="003957FA"/>
    <w:rsid w:val="003A0AED"/>
    <w:rsid w:val="003A0DBC"/>
    <w:rsid w:val="003A17B7"/>
    <w:rsid w:val="003B03F4"/>
    <w:rsid w:val="003C03DE"/>
    <w:rsid w:val="003D237C"/>
    <w:rsid w:val="003D5FA4"/>
    <w:rsid w:val="003D76C6"/>
    <w:rsid w:val="003E40CA"/>
    <w:rsid w:val="003F564A"/>
    <w:rsid w:val="003F7126"/>
    <w:rsid w:val="00402892"/>
    <w:rsid w:val="00405628"/>
    <w:rsid w:val="004135BE"/>
    <w:rsid w:val="00416763"/>
    <w:rsid w:val="00416956"/>
    <w:rsid w:val="004170A6"/>
    <w:rsid w:val="00423DDC"/>
    <w:rsid w:val="00426CEA"/>
    <w:rsid w:val="0043589A"/>
    <w:rsid w:val="00435DC0"/>
    <w:rsid w:val="00436A04"/>
    <w:rsid w:val="00437B13"/>
    <w:rsid w:val="004427AA"/>
    <w:rsid w:val="00450894"/>
    <w:rsid w:val="00456010"/>
    <w:rsid w:val="004577D9"/>
    <w:rsid w:val="00466FB2"/>
    <w:rsid w:val="00473D5C"/>
    <w:rsid w:val="004771CF"/>
    <w:rsid w:val="00480DAF"/>
    <w:rsid w:val="00481402"/>
    <w:rsid w:val="00482033"/>
    <w:rsid w:val="00483C58"/>
    <w:rsid w:val="00491CE5"/>
    <w:rsid w:val="00493ABB"/>
    <w:rsid w:val="004962AA"/>
    <w:rsid w:val="004A24DA"/>
    <w:rsid w:val="004A2AC0"/>
    <w:rsid w:val="004A449B"/>
    <w:rsid w:val="004A6BCD"/>
    <w:rsid w:val="004B0BAB"/>
    <w:rsid w:val="004B59BE"/>
    <w:rsid w:val="004C1977"/>
    <w:rsid w:val="004C39F2"/>
    <w:rsid w:val="004C77D2"/>
    <w:rsid w:val="004D04FE"/>
    <w:rsid w:val="004D0CDD"/>
    <w:rsid w:val="004D13A6"/>
    <w:rsid w:val="004E0EE0"/>
    <w:rsid w:val="004E10FB"/>
    <w:rsid w:val="004E15F8"/>
    <w:rsid w:val="004F14C5"/>
    <w:rsid w:val="004F2A0C"/>
    <w:rsid w:val="004F3F02"/>
    <w:rsid w:val="004F6006"/>
    <w:rsid w:val="00500751"/>
    <w:rsid w:val="0051173E"/>
    <w:rsid w:val="00512E03"/>
    <w:rsid w:val="00513D5B"/>
    <w:rsid w:val="005157B1"/>
    <w:rsid w:val="00524EEA"/>
    <w:rsid w:val="00526C54"/>
    <w:rsid w:val="00527A6B"/>
    <w:rsid w:val="00531278"/>
    <w:rsid w:val="00532B90"/>
    <w:rsid w:val="00536DEF"/>
    <w:rsid w:val="005372FD"/>
    <w:rsid w:val="00543C4E"/>
    <w:rsid w:val="00551AAF"/>
    <w:rsid w:val="00553F3D"/>
    <w:rsid w:val="00556362"/>
    <w:rsid w:val="005572C2"/>
    <w:rsid w:val="0056112D"/>
    <w:rsid w:val="00562E21"/>
    <w:rsid w:val="00563ACC"/>
    <w:rsid w:val="00565A2F"/>
    <w:rsid w:val="005750AB"/>
    <w:rsid w:val="00576B80"/>
    <w:rsid w:val="00576D52"/>
    <w:rsid w:val="005941D1"/>
    <w:rsid w:val="00597227"/>
    <w:rsid w:val="005A3EBF"/>
    <w:rsid w:val="005A53E8"/>
    <w:rsid w:val="005A5BDE"/>
    <w:rsid w:val="005B1064"/>
    <w:rsid w:val="005B4F8B"/>
    <w:rsid w:val="005B6C28"/>
    <w:rsid w:val="005B6E56"/>
    <w:rsid w:val="005B72FB"/>
    <w:rsid w:val="005C0974"/>
    <w:rsid w:val="005C334B"/>
    <w:rsid w:val="005C6113"/>
    <w:rsid w:val="005D4C93"/>
    <w:rsid w:val="005D6C70"/>
    <w:rsid w:val="005E5AF9"/>
    <w:rsid w:val="005E6825"/>
    <w:rsid w:val="005E7A35"/>
    <w:rsid w:val="005F0465"/>
    <w:rsid w:val="005F7004"/>
    <w:rsid w:val="005F74EA"/>
    <w:rsid w:val="00602EC8"/>
    <w:rsid w:val="006053FD"/>
    <w:rsid w:val="00607616"/>
    <w:rsid w:val="0061087C"/>
    <w:rsid w:val="00611CEB"/>
    <w:rsid w:val="00612491"/>
    <w:rsid w:val="00615547"/>
    <w:rsid w:val="0061790F"/>
    <w:rsid w:val="00621243"/>
    <w:rsid w:val="00625A0A"/>
    <w:rsid w:val="006279D8"/>
    <w:rsid w:val="0064093D"/>
    <w:rsid w:val="00641268"/>
    <w:rsid w:val="00642D9B"/>
    <w:rsid w:val="0064319A"/>
    <w:rsid w:val="006435F8"/>
    <w:rsid w:val="00644310"/>
    <w:rsid w:val="006512D0"/>
    <w:rsid w:val="006551DB"/>
    <w:rsid w:val="006610C1"/>
    <w:rsid w:val="00662978"/>
    <w:rsid w:val="006632A2"/>
    <w:rsid w:val="00663BB6"/>
    <w:rsid w:val="00663BD0"/>
    <w:rsid w:val="0066690B"/>
    <w:rsid w:val="00667B0A"/>
    <w:rsid w:val="00673C2C"/>
    <w:rsid w:val="006805DB"/>
    <w:rsid w:val="006815C1"/>
    <w:rsid w:val="00682948"/>
    <w:rsid w:val="00684799"/>
    <w:rsid w:val="0068678C"/>
    <w:rsid w:val="00686D5E"/>
    <w:rsid w:val="00687547"/>
    <w:rsid w:val="00690D67"/>
    <w:rsid w:val="006926A8"/>
    <w:rsid w:val="00695948"/>
    <w:rsid w:val="006A0A21"/>
    <w:rsid w:val="006A5119"/>
    <w:rsid w:val="006A60E9"/>
    <w:rsid w:val="006B029F"/>
    <w:rsid w:val="006B1393"/>
    <w:rsid w:val="006B2BC4"/>
    <w:rsid w:val="006B40DC"/>
    <w:rsid w:val="006B625C"/>
    <w:rsid w:val="006B6DAA"/>
    <w:rsid w:val="006B7E71"/>
    <w:rsid w:val="006D7F6F"/>
    <w:rsid w:val="006E1AC6"/>
    <w:rsid w:val="006E336D"/>
    <w:rsid w:val="006E4920"/>
    <w:rsid w:val="006E5542"/>
    <w:rsid w:val="006E590B"/>
    <w:rsid w:val="006F1875"/>
    <w:rsid w:val="006F3C70"/>
    <w:rsid w:val="006F7DC0"/>
    <w:rsid w:val="007036C2"/>
    <w:rsid w:val="00706278"/>
    <w:rsid w:val="00711BFC"/>
    <w:rsid w:val="007142C1"/>
    <w:rsid w:val="00714585"/>
    <w:rsid w:val="00714BAF"/>
    <w:rsid w:val="007158CE"/>
    <w:rsid w:val="007174FE"/>
    <w:rsid w:val="00717DD4"/>
    <w:rsid w:val="0072178E"/>
    <w:rsid w:val="00721ADF"/>
    <w:rsid w:val="007237B6"/>
    <w:rsid w:val="00725F6A"/>
    <w:rsid w:val="00737A02"/>
    <w:rsid w:val="007405A7"/>
    <w:rsid w:val="0074328F"/>
    <w:rsid w:val="007434BC"/>
    <w:rsid w:val="00743905"/>
    <w:rsid w:val="00744046"/>
    <w:rsid w:val="007506AC"/>
    <w:rsid w:val="0075256C"/>
    <w:rsid w:val="00763C12"/>
    <w:rsid w:val="00774E14"/>
    <w:rsid w:val="00782539"/>
    <w:rsid w:val="00787880"/>
    <w:rsid w:val="007927C0"/>
    <w:rsid w:val="00795A50"/>
    <w:rsid w:val="007A1391"/>
    <w:rsid w:val="007A215E"/>
    <w:rsid w:val="007A3A5D"/>
    <w:rsid w:val="007A687E"/>
    <w:rsid w:val="007B575A"/>
    <w:rsid w:val="007B6773"/>
    <w:rsid w:val="007B77EE"/>
    <w:rsid w:val="007B7DBB"/>
    <w:rsid w:val="007C0119"/>
    <w:rsid w:val="007C1F6D"/>
    <w:rsid w:val="007C3514"/>
    <w:rsid w:val="007C488A"/>
    <w:rsid w:val="007C6270"/>
    <w:rsid w:val="007D09F5"/>
    <w:rsid w:val="007D1B6B"/>
    <w:rsid w:val="007D3162"/>
    <w:rsid w:val="007D46F1"/>
    <w:rsid w:val="007D6B59"/>
    <w:rsid w:val="007D7D9D"/>
    <w:rsid w:val="007F186F"/>
    <w:rsid w:val="007F1C0D"/>
    <w:rsid w:val="007F1D67"/>
    <w:rsid w:val="007F2CCE"/>
    <w:rsid w:val="007F49A1"/>
    <w:rsid w:val="007F6E91"/>
    <w:rsid w:val="008002C5"/>
    <w:rsid w:val="00804793"/>
    <w:rsid w:val="0080755E"/>
    <w:rsid w:val="00811E9D"/>
    <w:rsid w:val="00812236"/>
    <w:rsid w:val="00814735"/>
    <w:rsid w:val="00814CEC"/>
    <w:rsid w:val="008165B6"/>
    <w:rsid w:val="00821096"/>
    <w:rsid w:val="00822078"/>
    <w:rsid w:val="008307ED"/>
    <w:rsid w:val="00831395"/>
    <w:rsid w:val="00832C98"/>
    <w:rsid w:val="00834919"/>
    <w:rsid w:val="0083684E"/>
    <w:rsid w:val="008478D8"/>
    <w:rsid w:val="00847AD6"/>
    <w:rsid w:val="0085097E"/>
    <w:rsid w:val="00852459"/>
    <w:rsid w:val="008548CE"/>
    <w:rsid w:val="0085635F"/>
    <w:rsid w:val="008658B7"/>
    <w:rsid w:val="00865B19"/>
    <w:rsid w:val="008665C0"/>
    <w:rsid w:val="00872B15"/>
    <w:rsid w:val="008776CF"/>
    <w:rsid w:val="00893258"/>
    <w:rsid w:val="008955A4"/>
    <w:rsid w:val="008A0849"/>
    <w:rsid w:val="008A2096"/>
    <w:rsid w:val="008A7132"/>
    <w:rsid w:val="008A7842"/>
    <w:rsid w:val="008B0465"/>
    <w:rsid w:val="008B0D37"/>
    <w:rsid w:val="008B3112"/>
    <w:rsid w:val="008B55FB"/>
    <w:rsid w:val="008C0696"/>
    <w:rsid w:val="008C15B4"/>
    <w:rsid w:val="008C588B"/>
    <w:rsid w:val="008D21AB"/>
    <w:rsid w:val="008D4901"/>
    <w:rsid w:val="008D5877"/>
    <w:rsid w:val="008D6036"/>
    <w:rsid w:val="008D61F1"/>
    <w:rsid w:val="008E1C19"/>
    <w:rsid w:val="008E250C"/>
    <w:rsid w:val="008E434C"/>
    <w:rsid w:val="008F1DCE"/>
    <w:rsid w:val="008F46AF"/>
    <w:rsid w:val="008F5BA0"/>
    <w:rsid w:val="00903D4C"/>
    <w:rsid w:val="009107C3"/>
    <w:rsid w:val="00912290"/>
    <w:rsid w:val="00914A1B"/>
    <w:rsid w:val="00915377"/>
    <w:rsid w:val="0091541C"/>
    <w:rsid w:val="009171C3"/>
    <w:rsid w:val="00924290"/>
    <w:rsid w:val="009256C5"/>
    <w:rsid w:val="00926958"/>
    <w:rsid w:val="009303D0"/>
    <w:rsid w:val="00932F7C"/>
    <w:rsid w:val="0093325E"/>
    <w:rsid w:val="00933BA3"/>
    <w:rsid w:val="00934DA3"/>
    <w:rsid w:val="0094047D"/>
    <w:rsid w:val="009454BE"/>
    <w:rsid w:val="00947BD3"/>
    <w:rsid w:val="00950B01"/>
    <w:rsid w:val="00951326"/>
    <w:rsid w:val="00952208"/>
    <w:rsid w:val="009526A0"/>
    <w:rsid w:val="00955B3C"/>
    <w:rsid w:val="0095736A"/>
    <w:rsid w:val="00957D4C"/>
    <w:rsid w:val="009667F1"/>
    <w:rsid w:val="00966C15"/>
    <w:rsid w:val="009700E8"/>
    <w:rsid w:val="0097116A"/>
    <w:rsid w:val="009728A2"/>
    <w:rsid w:val="00975270"/>
    <w:rsid w:val="00976395"/>
    <w:rsid w:val="0097756F"/>
    <w:rsid w:val="00981046"/>
    <w:rsid w:val="0098691C"/>
    <w:rsid w:val="00986E83"/>
    <w:rsid w:val="00992441"/>
    <w:rsid w:val="0099361F"/>
    <w:rsid w:val="00994226"/>
    <w:rsid w:val="00995B54"/>
    <w:rsid w:val="00997648"/>
    <w:rsid w:val="009A17FE"/>
    <w:rsid w:val="009A540A"/>
    <w:rsid w:val="009B265C"/>
    <w:rsid w:val="009B4247"/>
    <w:rsid w:val="009B655D"/>
    <w:rsid w:val="009C0ADF"/>
    <w:rsid w:val="009C399B"/>
    <w:rsid w:val="009C670C"/>
    <w:rsid w:val="009D2110"/>
    <w:rsid w:val="009D5839"/>
    <w:rsid w:val="009E0FAB"/>
    <w:rsid w:val="009E172E"/>
    <w:rsid w:val="009E44B4"/>
    <w:rsid w:val="009E5218"/>
    <w:rsid w:val="009F02F8"/>
    <w:rsid w:val="009F1E94"/>
    <w:rsid w:val="009F7F2F"/>
    <w:rsid w:val="00A038E6"/>
    <w:rsid w:val="00A0419B"/>
    <w:rsid w:val="00A04E05"/>
    <w:rsid w:val="00A05CF1"/>
    <w:rsid w:val="00A05DE1"/>
    <w:rsid w:val="00A07F79"/>
    <w:rsid w:val="00A12F69"/>
    <w:rsid w:val="00A13BAD"/>
    <w:rsid w:val="00A23E3D"/>
    <w:rsid w:val="00A27D65"/>
    <w:rsid w:val="00A3063B"/>
    <w:rsid w:val="00A315FF"/>
    <w:rsid w:val="00A35647"/>
    <w:rsid w:val="00A37625"/>
    <w:rsid w:val="00A450C4"/>
    <w:rsid w:val="00A537BD"/>
    <w:rsid w:val="00A543C3"/>
    <w:rsid w:val="00A57A5C"/>
    <w:rsid w:val="00A60FDB"/>
    <w:rsid w:val="00A66238"/>
    <w:rsid w:val="00A6708A"/>
    <w:rsid w:val="00A72484"/>
    <w:rsid w:val="00A74767"/>
    <w:rsid w:val="00A75B89"/>
    <w:rsid w:val="00A772F0"/>
    <w:rsid w:val="00A80242"/>
    <w:rsid w:val="00A80ABC"/>
    <w:rsid w:val="00A83E9B"/>
    <w:rsid w:val="00A8563E"/>
    <w:rsid w:val="00A86C6A"/>
    <w:rsid w:val="00A94FBF"/>
    <w:rsid w:val="00A94FC9"/>
    <w:rsid w:val="00A95315"/>
    <w:rsid w:val="00A96D50"/>
    <w:rsid w:val="00AA12D2"/>
    <w:rsid w:val="00AA1C32"/>
    <w:rsid w:val="00AA22C9"/>
    <w:rsid w:val="00AA463A"/>
    <w:rsid w:val="00AA7847"/>
    <w:rsid w:val="00AB1F94"/>
    <w:rsid w:val="00AB209B"/>
    <w:rsid w:val="00AB2E3B"/>
    <w:rsid w:val="00AB3204"/>
    <w:rsid w:val="00AB590C"/>
    <w:rsid w:val="00AB60F8"/>
    <w:rsid w:val="00AC1C3E"/>
    <w:rsid w:val="00AC330A"/>
    <w:rsid w:val="00AC5A07"/>
    <w:rsid w:val="00AD01B4"/>
    <w:rsid w:val="00AD7A8F"/>
    <w:rsid w:val="00AE1203"/>
    <w:rsid w:val="00AE2704"/>
    <w:rsid w:val="00AE53D4"/>
    <w:rsid w:val="00AF08FE"/>
    <w:rsid w:val="00AF1A93"/>
    <w:rsid w:val="00AF4D44"/>
    <w:rsid w:val="00B00AF5"/>
    <w:rsid w:val="00B01864"/>
    <w:rsid w:val="00B03230"/>
    <w:rsid w:val="00B04F69"/>
    <w:rsid w:val="00B07787"/>
    <w:rsid w:val="00B10D67"/>
    <w:rsid w:val="00B14629"/>
    <w:rsid w:val="00B1742D"/>
    <w:rsid w:val="00B23287"/>
    <w:rsid w:val="00B2408F"/>
    <w:rsid w:val="00B24620"/>
    <w:rsid w:val="00B33D85"/>
    <w:rsid w:val="00B34963"/>
    <w:rsid w:val="00B35169"/>
    <w:rsid w:val="00B35538"/>
    <w:rsid w:val="00B35870"/>
    <w:rsid w:val="00B36939"/>
    <w:rsid w:val="00B36B3C"/>
    <w:rsid w:val="00B407D1"/>
    <w:rsid w:val="00B44635"/>
    <w:rsid w:val="00B44DBD"/>
    <w:rsid w:val="00B4646C"/>
    <w:rsid w:val="00B478DC"/>
    <w:rsid w:val="00B512BF"/>
    <w:rsid w:val="00B5241A"/>
    <w:rsid w:val="00B52E19"/>
    <w:rsid w:val="00B536C3"/>
    <w:rsid w:val="00B602DB"/>
    <w:rsid w:val="00B62703"/>
    <w:rsid w:val="00B62FA9"/>
    <w:rsid w:val="00B641CD"/>
    <w:rsid w:val="00B6483A"/>
    <w:rsid w:val="00B65856"/>
    <w:rsid w:val="00B66657"/>
    <w:rsid w:val="00B702A7"/>
    <w:rsid w:val="00B70E30"/>
    <w:rsid w:val="00B746F8"/>
    <w:rsid w:val="00B76A73"/>
    <w:rsid w:val="00B80FB1"/>
    <w:rsid w:val="00B8715F"/>
    <w:rsid w:val="00B87F9C"/>
    <w:rsid w:val="00B94E03"/>
    <w:rsid w:val="00B97A03"/>
    <w:rsid w:val="00BA4263"/>
    <w:rsid w:val="00BA6DE7"/>
    <w:rsid w:val="00BA79E9"/>
    <w:rsid w:val="00BB075A"/>
    <w:rsid w:val="00BB13E7"/>
    <w:rsid w:val="00BB183F"/>
    <w:rsid w:val="00BB1CE6"/>
    <w:rsid w:val="00BB257A"/>
    <w:rsid w:val="00BB4E5B"/>
    <w:rsid w:val="00BB59FF"/>
    <w:rsid w:val="00BB6C0D"/>
    <w:rsid w:val="00BB6E2E"/>
    <w:rsid w:val="00BC054C"/>
    <w:rsid w:val="00BC51FE"/>
    <w:rsid w:val="00BD5E79"/>
    <w:rsid w:val="00BE0FBC"/>
    <w:rsid w:val="00BE5AB6"/>
    <w:rsid w:val="00BF0A7F"/>
    <w:rsid w:val="00C01653"/>
    <w:rsid w:val="00C050DA"/>
    <w:rsid w:val="00C05C94"/>
    <w:rsid w:val="00C11961"/>
    <w:rsid w:val="00C11F9D"/>
    <w:rsid w:val="00C12035"/>
    <w:rsid w:val="00C12E76"/>
    <w:rsid w:val="00C14BCC"/>
    <w:rsid w:val="00C14D2A"/>
    <w:rsid w:val="00C14DAA"/>
    <w:rsid w:val="00C2478A"/>
    <w:rsid w:val="00C26BF9"/>
    <w:rsid w:val="00C27600"/>
    <w:rsid w:val="00C27E91"/>
    <w:rsid w:val="00C3197C"/>
    <w:rsid w:val="00C349DC"/>
    <w:rsid w:val="00C37C47"/>
    <w:rsid w:val="00C40796"/>
    <w:rsid w:val="00C4380C"/>
    <w:rsid w:val="00C5082D"/>
    <w:rsid w:val="00C54BDF"/>
    <w:rsid w:val="00C552A6"/>
    <w:rsid w:val="00C55CA6"/>
    <w:rsid w:val="00C5604B"/>
    <w:rsid w:val="00C60592"/>
    <w:rsid w:val="00C60FAB"/>
    <w:rsid w:val="00C64017"/>
    <w:rsid w:val="00C669DE"/>
    <w:rsid w:val="00C66E0B"/>
    <w:rsid w:val="00C7188A"/>
    <w:rsid w:val="00C71981"/>
    <w:rsid w:val="00C84014"/>
    <w:rsid w:val="00C86348"/>
    <w:rsid w:val="00C8742D"/>
    <w:rsid w:val="00C90579"/>
    <w:rsid w:val="00C9178C"/>
    <w:rsid w:val="00C92067"/>
    <w:rsid w:val="00C92E9E"/>
    <w:rsid w:val="00C92FCF"/>
    <w:rsid w:val="00C978D2"/>
    <w:rsid w:val="00CA1DFC"/>
    <w:rsid w:val="00CA7871"/>
    <w:rsid w:val="00CB103F"/>
    <w:rsid w:val="00CC281A"/>
    <w:rsid w:val="00CC38CC"/>
    <w:rsid w:val="00CC38E1"/>
    <w:rsid w:val="00CD1F65"/>
    <w:rsid w:val="00CD2704"/>
    <w:rsid w:val="00CD3E2C"/>
    <w:rsid w:val="00CD641B"/>
    <w:rsid w:val="00CE2406"/>
    <w:rsid w:val="00CF51DF"/>
    <w:rsid w:val="00D00EDE"/>
    <w:rsid w:val="00D01BE7"/>
    <w:rsid w:val="00D02B83"/>
    <w:rsid w:val="00D04B12"/>
    <w:rsid w:val="00D1349B"/>
    <w:rsid w:val="00D13740"/>
    <w:rsid w:val="00D139C4"/>
    <w:rsid w:val="00D2224A"/>
    <w:rsid w:val="00D253DE"/>
    <w:rsid w:val="00D27C8C"/>
    <w:rsid w:val="00D3056F"/>
    <w:rsid w:val="00D3282B"/>
    <w:rsid w:val="00D330DA"/>
    <w:rsid w:val="00D40819"/>
    <w:rsid w:val="00D4413F"/>
    <w:rsid w:val="00D44323"/>
    <w:rsid w:val="00D45076"/>
    <w:rsid w:val="00D4744C"/>
    <w:rsid w:val="00D47883"/>
    <w:rsid w:val="00D50AA2"/>
    <w:rsid w:val="00D521AB"/>
    <w:rsid w:val="00D5242A"/>
    <w:rsid w:val="00D71350"/>
    <w:rsid w:val="00D7230F"/>
    <w:rsid w:val="00D83BA6"/>
    <w:rsid w:val="00D86811"/>
    <w:rsid w:val="00D901E0"/>
    <w:rsid w:val="00D94DD9"/>
    <w:rsid w:val="00D95B86"/>
    <w:rsid w:val="00DA0980"/>
    <w:rsid w:val="00DA1514"/>
    <w:rsid w:val="00DA1DE1"/>
    <w:rsid w:val="00DA204A"/>
    <w:rsid w:val="00DB103F"/>
    <w:rsid w:val="00DB17F5"/>
    <w:rsid w:val="00DB6E8D"/>
    <w:rsid w:val="00DC1C1B"/>
    <w:rsid w:val="00DC239E"/>
    <w:rsid w:val="00DC2E45"/>
    <w:rsid w:val="00DC315E"/>
    <w:rsid w:val="00DC3F7C"/>
    <w:rsid w:val="00DD3B0B"/>
    <w:rsid w:val="00DD4D12"/>
    <w:rsid w:val="00DD5AFA"/>
    <w:rsid w:val="00DD618D"/>
    <w:rsid w:val="00DE0732"/>
    <w:rsid w:val="00DE57C9"/>
    <w:rsid w:val="00DF0314"/>
    <w:rsid w:val="00DF2192"/>
    <w:rsid w:val="00DF6153"/>
    <w:rsid w:val="00DF752B"/>
    <w:rsid w:val="00E008F4"/>
    <w:rsid w:val="00E0237C"/>
    <w:rsid w:val="00E05348"/>
    <w:rsid w:val="00E10D6B"/>
    <w:rsid w:val="00E11F62"/>
    <w:rsid w:val="00E139F3"/>
    <w:rsid w:val="00E13DDE"/>
    <w:rsid w:val="00E1430B"/>
    <w:rsid w:val="00E16BD0"/>
    <w:rsid w:val="00E22A54"/>
    <w:rsid w:val="00E247BD"/>
    <w:rsid w:val="00E25DDB"/>
    <w:rsid w:val="00E271F0"/>
    <w:rsid w:val="00E27F30"/>
    <w:rsid w:val="00E34E44"/>
    <w:rsid w:val="00E36B3E"/>
    <w:rsid w:val="00E36EE2"/>
    <w:rsid w:val="00E408AF"/>
    <w:rsid w:val="00E412C6"/>
    <w:rsid w:val="00E46F0E"/>
    <w:rsid w:val="00E478EB"/>
    <w:rsid w:val="00E545E4"/>
    <w:rsid w:val="00E579BE"/>
    <w:rsid w:val="00E609A6"/>
    <w:rsid w:val="00E630C2"/>
    <w:rsid w:val="00E6531E"/>
    <w:rsid w:val="00E65694"/>
    <w:rsid w:val="00E66A1D"/>
    <w:rsid w:val="00E66D33"/>
    <w:rsid w:val="00E7050E"/>
    <w:rsid w:val="00E718EC"/>
    <w:rsid w:val="00E71F62"/>
    <w:rsid w:val="00E75A01"/>
    <w:rsid w:val="00E802C4"/>
    <w:rsid w:val="00E8616A"/>
    <w:rsid w:val="00E9316C"/>
    <w:rsid w:val="00E94041"/>
    <w:rsid w:val="00EA16BD"/>
    <w:rsid w:val="00EA20E7"/>
    <w:rsid w:val="00EA2604"/>
    <w:rsid w:val="00EA2F6D"/>
    <w:rsid w:val="00EA38AF"/>
    <w:rsid w:val="00EB1649"/>
    <w:rsid w:val="00EC188A"/>
    <w:rsid w:val="00ED26F9"/>
    <w:rsid w:val="00ED42F8"/>
    <w:rsid w:val="00ED4F65"/>
    <w:rsid w:val="00ED6747"/>
    <w:rsid w:val="00ED68BF"/>
    <w:rsid w:val="00EE4A39"/>
    <w:rsid w:val="00EE61F1"/>
    <w:rsid w:val="00EE7A1D"/>
    <w:rsid w:val="00EF4B76"/>
    <w:rsid w:val="00EF695A"/>
    <w:rsid w:val="00EF7406"/>
    <w:rsid w:val="00F0419C"/>
    <w:rsid w:val="00F0424F"/>
    <w:rsid w:val="00F06F8B"/>
    <w:rsid w:val="00F13333"/>
    <w:rsid w:val="00F13F62"/>
    <w:rsid w:val="00F1473D"/>
    <w:rsid w:val="00F16426"/>
    <w:rsid w:val="00F1741C"/>
    <w:rsid w:val="00F17A17"/>
    <w:rsid w:val="00F17F15"/>
    <w:rsid w:val="00F326CC"/>
    <w:rsid w:val="00F330C9"/>
    <w:rsid w:val="00F349E5"/>
    <w:rsid w:val="00F41E9D"/>
    <w:rsid w:val="00F42FD7"/>
    <w:rsid w:val="00F43CBA"/>
    <w:rsid w:val="00F54B06"/>
    <w:rsid w:val="00F616D4"/>
    <w:rsid w:val="00F61DFE"/>
    <w:rsid w:val="00F623DD"/>
    <w:rsid w:val="00F64BA9"/>
    <w:rsid w:val="00F658C0"/>
    <w:rsid w:val="00F66982"/>
    <w:rsid w:val="00F66ABB"/>
    <w:rsid w:val="00F70CA9"/>
    <w:rsid w:val="00F71C2A"/>
    <w:rsid w:val="00F71D47"/>
    <w:rsid w:val="00F751F6"/>
    <w:rsid w:val="00F77279"/>
    <w:rsid w:val="00F77CBD"/>
    <w:rsid w:val="00F805C2"/>
    <w:rsid w:val="00F81CE2"/>
    <w:rsid w:val="00F8379A"/>
    <w:rsid w:val="00F845DF"/>
    <w:rsid w:val="00F85BA8"/>
    <w:rsid w:val="00F86799"/>
    <w:rsid w:val="00F86D84"/>
    <w:rsid w:val="00F878BB"/>
    <w:rsid w:val="00F92BDF"/>
    <w:rsid w:val="00F933D6"/>
    <w:rsid w:val="00F97465"/>
    <w:rsid w:val="00FA0624"/>
    <w:rsid w:val="00FA1DC0"/>
    <w:rsid w:val="00FA4F7F"/>
    <w:rsid w:val="00FA5F77"/>
    <w:rsid w:val="00FB3819"/>
    <w:rsid w:val="00FB5C58"/>
    <w:rsid w:val="00FB62E3"/>
    <w:rsid w:val="00FC0E3D"/>
    <w:rsid w:val="00FC3C34"/>
    <w:rsid w:val="00FC4CBD"/>
    <w:rsid w:val="00FC7899"/>
    <w:rsid w:val="00FD0E81"/>
    <w:rsid w:val="00FD5682"/>
    <w:rsid w:val="00FD774B"/>
    <w:rsid w:val="00FE2100"/>
    <w:rsid w:val="00FF08CF"/>
    <w:rsid w:val="00FF0CFE"/>
    <w:rsid w:val="00FF1E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442DA"/>
  <w15:docId w15:val="{0DEB5B73-D3BB-4CD2-93F5-CD7D1E29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texte1"/>
    <w:qFormat/>
    <w:rsid w:val="00025D9C"/>
    <w:pPr>
      <w:keepNext/>
      <w:numPr>
        <w:numId w:val="1"/>
      </w:numPr>
      <w:tabs>
        <w:tab w:val="clear" w:pos="1440"/>
        <w:tab w:val="num" w:pos="1985"/>
      </w:tabs>
      <w:spacing w:before="360" w:after="120"/>
      <w:outlineLvl w:val="0"/>
    </w:pPr>
    <w:rPr>
      <w:b/>
      <w:caps/>
      <w:spacing w:val="20"/>
    </w:rPr>
  </w:style>
  <w:style w:type="paragraph" w:styleId="Titre2">
    <w:name w:val="heading 2"/>
    <w:basedOn w:val="Normal"/>
    <w:next w:val="texte1"/>
    <w:qFormat/>
    <w:rsid w:val="00FC3C34"/>
    <w:pPr>
      <w:keepNext/>
      <w:numPr>
        <w:ilvl w:val="1"/>
        <w:numId w:val="1"/>
      </w:numPr>
      <w:tabs>
        <w:tab w:val="clear" w:pos="1002"/>
        <w:tab w:val="num" w:pos="860"/>
      </w:tabs>
      <w:spacing w:before="240" w:after="120"/>
      <w:ind w:left="860" w:right="40"/>
      <w:outlineLvl w:val="1"/>
    </w:pPr>
    <w:rPr>
      <w:rFonts w:eastAsia="Calibri"/>
      <w:b/>
      <w:spacing w:val="20"/>
    </w:rPr>
  </w:style>
  <w:style w:type="paragraph" w:styleId="Titre3">
    <w:name w:val="heading 3"/>
    <w:basedOn w:val="Normal"/>
    <w:next w:val="texte1"/>
    <w:link w:val="Titre3Car"/>
    <w:qFormat/>
    <w:rsid w:val="005B6C28"/>
    <w:pPr>
      <w:keepNext/>
      <w:numPr>
        <w:ilvl w:val="2"/>
        <w:numId w:val="1"/>
      </w:numPr>
      <w:spacing w:before="240" w:after="120"/>
      <w:ind w:right="40"/>
      <w:outlineLvl w:val="2"/>
    </w:pPr>
    <w:rPr>
      <w:rFonts w:ascii="Times New Roman Gras" w:eastAsia="Calibri" w:hAnsi="Times New Roman Gras"/>
      <w:b/>
      <w:i/>
    </w:rPr>
  </w:style>
  <w:style w:type="paragraph" w:styleId="Titre4">
    <w:name w:val="heading 4"/>
    <w:basedOn w:val="Normal"/>
    <w:next w:val="texte1"/>
    <w:qFormat/>
    <w:pPr>
      <w:keepNext/>
      <w:numPr>
        <w:ilvl w:val="3"/>
        <w:numId w:val="1"/>
      </w:numPr>
      <w:spacing w:before="100" w:after="60"/>
      <w:outlineLvl w:val="3"/>
    </w:pPr>
    <w:rPr>
      <w:b/>
      <w:i/>
    </w:rPr>
  </w:style>
  <w:style w:type="paragraph" w:styleId="Titre5">
    <w:name w:val="heading 5"/>
    <w:basedOn w:val="Normal"/>
    <w:next w:val="texte1"/>
    <w:qFormat/>
    <w:pPr>
      <w:keepNext/>
      <w:numPr>
        <w:ilvl w:val="4"/>
        <w:numId w:val="1"/>
      </w:numPr>
      <w:spacing w:before="100" w:after="60"/>
      <w:outlineLvl w:val="4"/>
    </w:pPr>
  </w:style>
  <w:style w:type="paragraph" w:styleId="Titre6">
    <w:name w:val="heading 6"/>
    <w:basedOn w:val="Normal"/>
    <w:next w:val="texte1"/>
    <w:qFormat/>
    <w:pPr>
      <w:keepNext/>
      <w:numPr>
        <w:ilvl w:val="5"/>
        <w:numId w:val="1"/>
      </w:numPr>
      <w:spacing w:before="100" w:after="60"/>
      <w:outlineLvl w:val="5"/>
    </w:pPr>
    <w:rPr>
      <w:i/>
    </w:rPr>
  </w:style>
  <w:style w:type="paragraph" w:styleId="Titre7">
    <w:name w:val="heading 7"/>
    <w:basedOn w:val="Normal"/>
    <w:next w:val="texte1"/>
    <w:qFormat/>
    <w:pPr>
      <w:keepNext/>
      <w:numPr>
        <w:ilvl w:val="6"/>
        <w:numId w:val="1"/>
      </w:numPr>
      <w:spacing w:before="100" w:after="60"/>
      <w:outlineLvl w:val="6"/>
    </w:pPr>
  </w:style>
  <w:style w:type="paragraph" w:styleId="Titre8">
    <w:name w:val="heading 8"/>
    <w:basedOn w:val="Normal"/>
    <w:next w:val="texte1"/>
    <w:qFormat/>
    <w:pPr>
      <w:keepNext/>
      <w:numPr>
        <w:ilvl w:val="7"/>
        <w:numId w:val="1"/>
      </w:numPr>
      <w:spacing w:before="100" w:after="60"/>
      <w:outlineLvl w:val="7"/>
    </w:pPr>
    <w:rPr>
      <w:i/>
    </w:rPr>
  </w:style>
  <w:style w:type="paragraph" w:styleId="Titre9">
    <w:name w:val="heading 9"/>
    <w:basedOn w:val="Normal"/>
    <w:next w:val="texte1"/>
    <w:qFormat/>
    <w:pPr>
      <w:keepNext/>
      <w:numPr>
        <w:ilvl w:val="8"/>
        <w:numId w:val="1"/>
      </w:numPr>
      <w:spacing w:before="6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26A0D"/>
    <w:pPr>
      <w:tabs>
        <w:tab w:val="center" w:pos="4536"/>
        <w:tab w:val="right" w:pos="9072"/>
      </w:tabs>
    </w:pPr>
  </w:style>
  <w:style w:type="character" w:styleId="Marquedecommentaire">
    <w:name w:val="annotation reference"/>
    <w:rsid w:val="008D5877"/>
    <w:rPr>
      <w:vanish/>
      <w:color w:val="0000FF"/>
      <w:sz w:val="16"/>
    </w:rPr>
  </w:style>
  <w:style w:type="paragraph" w:styleId="Commentaire">
    <w:name w:val="annotation text"/>
    <w:basedOn w:val="Normal"/>
    <w:link w:val="CommentaireCar"/>
    <w:rPr>
      <w:rFonts w:ascii="Times" w:hAnsi="Times"/>
    </w:rPr>
  </w:style>
  <w:style w:type="character" w:customStyle="1" w:styleId="PieddepageCar">
    <w:name w:val="Pied de page Car"/>
    <w:basedOn w:val="Policepardfaut"/>
    <w:link w:val="Pieddepage"/>
    <w:uiPriority w:val="99"/>
    <w:rsid w:val="00226A0D"/>
    <w:rPr>
      <w:sz w:val="24"/>
    </w:rPr>
  </w:style>
  <w:style w:type="paragraph" w:customStyle="1" w:styleId="texte1">
    <w:name w:val="texte 1"/>
    <w:basedOn w:val="Normal"/>
    <w:link w:val="texte1Car"/>
    <w:qFormat/>
    <w:pPr>
      <w:spacing w:after="100"/>
      <w:ind w:right="38"/>
      <w:jc w:val="both"/>
    </w:pPr>
    <w:rPr>
      <w:rFonts w:ascii="Times" w:hAnsi="Times"/>
    </w:rPr>
  </w:style>
  <w:style w:type="paragraph" w:styleId="Explorateurdedocuments">
    <w:name w:val="Document Map"/>
    <w:basedOn w:val="Normal"/>
    <w:rsid w:val="00621243"/>
    <w:pPr>
      <w:shd w:val="clear" w:color="auto" w:fill="000080"/>
    </w:pPr>
    <w:rPr>
      <w:rFonts w:ascii="Tahoma" w:hAnsi="Tahoma"/>
      <w:sz w:val="16"/>
    </w:rPr>
  </w:style>
  <w:style w:type="paragraph" w:customStyle="1" w:styleId="texte2">
    <w:name w:val="texte 2"/>
    <w:basedOn w:val="Normal"/>
    <w:qFormat/>
    <w:rsid w:val="009C399B"/>
    <w:pPr>
      <w:numPr>
        <w:numId w:val="14"/>
      </w:numPr>
      <w:ind w:left="993" w:right="40"/>
      <w:jc w:val="both"/>
    </w:pPr>
    <w:rPr>
      <w:rFonts w:ascii="Times" w:eastAsia="Calibri" w:hAnsi="Times"/>
    </w:rPr>
  </w:style>
  <w:style w:type="paragraph" w:customStyle="1" w:styleId="texte3">
    <w:name w:val="texte 3"/>
    <w:basedOn w:val="Normal"/>
    <w:qFormat/>
    <w:rsid w:val="00F66ABB"/>
    <w:pPr>
      <w:numPr>
        <w:numId w:val="15"/>
      </w:numPr>
      <w:ind w:left="1570" w:right="40" w:hanging="357"/>
    </w:pPr>
    <w:rPr>
      <w:rFonts w:ascii="Times" w:eastAsia="Calibri" w:hAnsi="Times"/>
    </w:rPr>
  </w:style>
  <w:style w:type="paragraph" w:customStyle="1" w:styleId="texte2centr">
    <w:name w:val="texte 2 centré"/>
    <w:basedOn w:val="texte1"/>
    <w:next w:val="texte1"/>
    <w:pPr>
      <w:ind w:left="560" w:right="0"/>
      <w:jc w:val="center"/>
    </w:pPr>
  </w:style>
  <w:style w:type="paragraph" w:styleId="TM1">
    <w:name w:val="toc 1"/>
    <w:basedOn w:val="Normal"/>
    <w:next w:val="Normal"/>
    <w:autoRedefine/>
    <w:uiPriority w:val="39"/>
    <w:rsid w:val="00C55CA6"/>
    <w:pPr>
      <w:tabs>
        <w:tab w:val="left" w:pos="1418"/>
        <w:tab w:val="right" w:leader="dot" w:pos="9639"/>
      </w:tabs>
      <w:spacing w:before="120"/>
      <w:ind w:left="1418" w:right="566" w:hanging="1418"/>
    </w:pPr>
    <w:rPr>
      <w:b/>
      <w:caps/>
      <w:noProof/>
      <w:sz w:val="20"/>
    </w:rPr>
  </w:style>
  <w:style w:type="paragraph" w:styleId="TM2">
    <w:name w:val="toc 2"/>
    <w:basedOn w:val="Normal"/>
    <w:next w:val="Normal"/>
    <w:autoRedefine/>
    <w:uiPriority w:val="39"/>
    <w:rsid w:val="009700E8"/>
    <w:pPr>
      <w:tabs>
        <w:tab w:val="left" w:pos="720"/>
        <w:tab w:val="right" w:leader="dot" w:pos="9639"/>
      </w:tabs>
      <w:ind w:left="240" w:right="566"/>
    </w:pPr>
    <w:rPr>
      <w:noProof/>
      <w:sz w:val="20"/>
    </w:rPr>
  </w:style>
  <w:style w:type="paragraph" w:styleId="TM3">
    <w:name w:val="toc 3"/>
    <w:basedOn w:val="Normal"/>
    <w:next w:val="Normal"/>
    <w:autoRedefine/>
    <w:uiPriority w:val="39"/>
    <w:rsid w:val="009700E8"/>
    <w:pPr>
      <w:tabs>
        <w:tab w:val="left" w:pos="1200"/>
        <w:tab w:val="right" w:leader="dot" w:pos="9639"/>
      </w:tabs>
      <w:ind w:left="480" w:right="566"/>
    </w:pPr>
    <w:rPr>
      <w:noProof/>
      <w:sz w:val="20"/>
    </w:rPr>
  </w:style>
  <w:style w:type="paragraph" w:styleId="TM4">
    <w:name w:val="toc 4"/>
    <w:basedOn w:val="Normal"/>
    <w:next w:val="Normal"/>
    <w:autoRedefine/>
    <w:semiHidden/>
    <w:pPr>
      <w:tabs>
        <w:tab w:val="left" w:pos="1440"/>
        <w:tab w:val="right" w:leader="dot" w:pos="10168"/>
      </w:tabs>
      <w:ind w:left="720"/>
    </w:pPr>
    <w:rPr>
      <w:noProof/>
      <w:sz w:val="20"/>
    </w:rPr>
  </w:style>
  <w:style w:type="paragraph" w:styleId="TM5">
    <w:name w:val="toc 5"/>
    <w:basedOn w:val="Normal"/>
    <w:next w:val="Normal"/>
    <w:autoRedefine/>
    <w:semiHidden/>
    <w:pPr>
      <w:tabs>
        <w:tab w:val="left" w:pos="1920"/>
        <w:tab w:val="right" w:leader="dot" w:pos="10168"/>
      </w:tabs>
      <w:ind w:left="960"/>
    </w:pPr>
    <w:rPr>
      <w:noProof/>
      <w:sz w:val="20"/>
    </w:rPr>
  </w:style>
  <w:style w:type="paragraph" w:styleId="TM6">
    <w:name w:val="toc 6"/>
    <w:basedOn w:val="Normal"/>
    <w:next w:val="Normal"/>
    <w:autoRedefine/>
    <w:semiHidden/>
    <w:pPr>
      <w:tabs>
        <w:tab w:val="left" w:pos="2268"/>
        <w:tab w:val="right" w:leader="dot" w:pos="10168"/>
      </w:tabs>
      <w:ind w:left="1200"/>
    </w:pPr>
    <w:rPr>
      <w:noProof/>
      <w:sz w:val="20"/>
    </w:rPr>
  </w:style>
  <w:style w:type="paragraph" w:styleId="TM7">
    <w:name w:val="toc 7"/>
    <w:basedOn w:val="Normal"/>
    <w:next w:val="Normal"/>
    <w:autoRedefine/>
    <w:semiHidden/>
    <w:pPr>
      <w:tabs>
        <w:tab w:val="left" w:pos="2694"/>
        <w:tab w:val="right" w:leader="dot" w:pos="10168"/>
      </w:tabs>
      <w:ind w:left="1440"/>
    </w:pPr>
    <w:rPr>
      <w:noProof/>
      <w:sz w:val="20"/>
    </w:rPr>
  </w:style>
  <w:style w:type="paragraph" w:styleId="TM8">
    <w:name w:val="toc 8"/>
    <w:basedOn w:val="Normal"/>
    <w:next w:val="Normal"/>
    <w:autoRedefine/>
    <w:semiHidden/>
    <w:pPr>
      <w:tabs>
        <w:tab w:val="left" w:pos="3261"/>
        <w:tab w:val="right" w:leader="dot" w:pos="10168"/>
      </w:tabs>
      <w:ind w:left="1680"/>
    </w:pPr>
    <w:rPr>
      <w:noProof/>
      <w:sz w:val="20"/>
    </w:rPr>
  </w:style>
  <w:style w:type="paragraph" w:styleId="TM9">
    <w:name w:val="toc 9"/>
    <w:basedOn w:val="Normal"/>
    <w:next w:val="Normal"/>
    <w:autoRedefine/>
    <w:semiHidden/>
    <w:pPr>
      <w:tabs>
        <w:tab w:val="left" w:pos="3544"/>
        <w:tab w:val="right" w:leader="dot" w:pos="10168"/>
      </w:tabs>
      <w:ind w:left="1920"/>
    </w:pPr>
    <w:rPr>
      <w:noProof/>
      <w:sz w:val="20"/>
    </w:rPr>
  </w:style>
  <w:style w:type="paragraph" w:styleId="En-tte">
    <w:name w:val="header"/>
    <w:basedOn w:val="Normal"/>
    <w:semiHidden/>
    <w:pPr>
      <w:tabs>
        <w:tab w:val="center" w:pos="4536"/>
        <w:tab w:val="right" w:pos="9072"/>
      </w:tabs>
    </w:pPr>
  </w:style>
  <w:style w:type="paragraph" w:styleId="Textedebulles">
    <w:name w:val="Balloon Text"/>
    <w:basedOn w:val="Normal"/>
    <w:semiHidden/>
    <w:rsid w:val="000F0611"/>
    <w:rPr>
      <w:rFonts w:ascii="Tahoma" w:hAnsi="Tahoma" w:cs="Tahoma"/>
      <w:sz w:val="16"/>
      <w:szCs w:val="16"/>
    </w:rPr>
  </w:style>
  <w:style w:type="paragraph" w:styleId="Corpsdetexte">
    <w:name w:val="Body Text"/>
    <w:basedOn w:val="Normal"/>
    <w:semiHidden/>
    <w:rsid w:val="000F0611"/>
    <w:pPr>
      <w:shd w:val="pct12" w:color="000000" w:fill="FFFFFF"/>
    </w:pPr>
  </w:style>
  <w:style w:type="paragraph" w:styleId="Objetducommentaire">
    <w:name w:val="annotation subject"/>
    <w:basedOn w:val="Commentaire"/>
    <w:next w:val="Commentaire"/>
    <w:semiHidden/>
    <w:rsid w:val="00FE2100"/>
    <w:rPr>
      <w:rFonts w:ascii="Times New Roman" w:hAnsi="Times New Roman"/>
      <w:b/>
      <w:bCs/>
      <w:sz w:val="20"/>
    </w:rPr>
  </w:style>
  <w:style w:type="paragraph" w:styleId="NormalWeb">
    <w:name w:val="Normal (Web)"/>
    <w:basedOn w:val="Normal"/>
    <w:rsid w:val="008548CE"/>
    <w:pPr>
      <w:spacing w:after="120"/>
    </w:pPr>
    <w:rPr>
      <w:szCs w:val="24"/>
    </w:rPr>
  </w:style>
  <w:style w:type="table" w:styleId="Grilledutableau">
    <w:name w:val="Table Grid"/>
    <w:basedOn w:val="TableauNormal"/>
    <w:rsid w:val="003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1Car">
    <w:name w:val="texte 1 Car"/>
    <w:link w:val="texte1"/>
    <w:rsid w:val="00B24620"/>
    <w:rPr>
      <w:rFonts w:ascii="Times" w:hAnsi="Times"/>
      <w:sz w:val="24"/>
    </w:rPr>
  </w:style>
  <w:style w:type="character" w:customStyle="1" w:styleId="Titre3Car">
    <w:name w:val="Titre 3 Car"/>
    <w:link w:val="Titre3"/>
    <w:rsid w:val="005B6C28"/>
    <w:rPr>
      <w:rFonts w:ascii="Times New Roman Gras" w:eastAsia="Calibri" w:hAnsi="Times New Roman Gras"/>
      <w:b/>
      <w:i/>
      <w:sz w:val="24"/>
    </w:rPr>
  </w:style>
  <w:style w:type="paragraph" w:styleId="Paragraphedeliste">
    <w:name w:val="List Paragraph"/>
    <w:basedOn w:val="Normal"/>
    <w:uiPriority w:val="34"/>
    <w:rsid w:val="00914A1B"/>
    <w:pPr>
      <w:ind w:left="720"/>
      <w:contextualSpacing/>
    </w:pPr>
  </w:style>
  <w:style w:type="character" w:customStyle="1" w:styleId="CommentaireCar">
    <w:name w:val="Commentaire Car"/>
    <w:basedOn w:val="Policepardfaut"/>
    <w:link w:val="Commentaire"/>
    <w:rsid w:val="00562E21"/>
    <w:rPr>
      <w:rFonts w:ascii="Times" w:hAnsi="Times"/>
      <w:sz w:val="24"/>
    </w:rPr>
  </w:style>
  <w:style w:type="character" w:styleId="Lienhypertexte">
    <w:name w:val="Hyperlink"/>
    <w:basedOn w:val="Policepardfaut"/>
    <w:uiPriority w:val="99"/>
    <w:unhideWhenUsed/>
    <w:rsid w:val="00513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1506">
      <w:bodyDiv w:val="1"/>
      <w:marLeft w:val="0"/>
      <w:marRight w:val="0"/>
      <w:marTop w:val="0"/>
      <w:marBottom w:val="0"/>
      <w:divBdr>
        <w:top w:val="none" w:sz="0" w:space="0" w:color="auto"/>
        <w:left w:val="none" w:sz="0" w:space="0" w:color="auto"/>
        <w:bottom w:val="none" w:sz="0" w:space="0" w:color="auto"/>
        <w:right w:val="none" w:sz="0" w:space="0" w:color="auto"/>
      </w:divBdr>
    </w:div>
    <w:div w:id="831487057">
      <w:bodyDiv w:val="1"/>
      <w:marLeft w:val="0"/>
      <w:marRight w:val="0"/>
      <w:marTop w:val="0"/>
      <w:marBottom w:val="0"/>
      <w:divBdr>
        <w:top w:val="none" w:sz="0" w:space="0" w:color="auto"/>
        <w:left w:val="none" w:sz="0" w:space="0" w:color="auto"/>
        <w:bottom w:val="none" w:sz="0" w:space="0" w:color="auto"/>
        <w:right w:val="none" w:sz="0" w:space="0" w:color="auto"/>
      </w:divBdr>
    </w:div>
    <w:div w:id="922449689">
      <w:bodyDiv w:val="1"/>
      <w:marLeft w:val="0"/>
      <w:marRight w:val="0"/>
      <w:marTop w:val="0"/>
      <w:marBottom w:val="0"/>
      <w:divBdr>
        <w:top w:val="none" w:sz="0" w:space="0" w:color="auto"/>
        <w:left w:val="none" w:sz="0" w:space="0" w:color="auto"/>
        <w:bottom w:val="none" w:sz="0" w:space="0" w:color="auto"/>
        <w:right w:val="none" w:sz="0" w:space="0" w:color="auto"/>
      </w:divBdr>
      <w:divsChild>
        <w:div w:id="1596204703">
          <w:marLeft w:val="0"/>
          <w:marRight w:val="0"/>
          <w:marTop w:val="0"/>
          <w:marBottom w:val="0"/>
          <w:divBdr>
            <w:top w:val="none" w:sz="0" w:space="0" w:color="auto"/>
            <w:left w:val="none" w:sz="0" w:space="0" w:color="auto"/>
            <w:bottom w:val="none" w:sz="0" w:space="0" w:color="auto"/>
            <w:right w:val="none" w:sz="0" w:space="0" w:color="auto"/>
          </w:divBdr>
          <w:divsChild>
            <w:div w:id="901912246">
              <w:marLeft w:val="0"/>
              <w:marRight w:val="0"/>
              <w:marTop w:val="0"/>
              <w:marBottom w:val="0"/>
              <w:divBdr>
                <w:top w:val="none" w:sz="0" w:space="0" w:color="auto"/>
                <w:left w:val="none" w:sz="0" w:space="0" w:color="auto"/>
                <w:bottom w:val="none" w:sz="0" w:space="0" w:color="auto"/>
                <w:right w:val="none" w:sz="0" w:space="0" w:color="auto"/>
              </w:divBdr>
              <w:divsChild>
                <w:div w:id="369886466">
                  <w:marLeft w:val="210"/>
                  <w:marRight w:val="0"/>
                  <w:marTop w:val="0"/>
                  <w:marBottom w:val="0"/>
                  <w:divBdr>
                    <w:top w:val="none" w:sz="0" w:space="0" w:color="auto"/>
                    <w:left w:val="none" w:sz="0" w:space="0" w:color="auto"/>
                    <w:bottom w:val="none" w:sz="0" w:space="0" w:color="auto"/>
                    <w:right w:val="none" w:sz="0" w:space="0" w:color="auto"/>
                  </w:divBdr>
                  <w:divsChild>
                    <w:div w:id="5115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73937">
      <w:bodyDiv w:val="1"/>
      <w:marLeft w:val="0"/>
      <w:marRight w:val="0"/>
      <w:marTop w:val="0"/>
      <w:marBottom w:val="0"/>
      <w:divBdr>
        <w:top w:val="none" w:sz="0" w:space="0" w:color="auto"/>
        <w:left w:val="none" w:sz="0" w:space="0" w:color="auto"/>
        <w:bottom w:val="none" w:sz="0" w:space="0" w:color="auto"/>
        <w:right w:val="none" w:sz="0" w:space="0" w:color="auto"/>
      </w:divBdr>
    </w:div>
    <w:div w:id="2127462062">
      <w:bodyDiv w:val="1"/>
      <w:marLeft w:val="0"/>
      <w:marRight w:val="0"/>
      <w:marTop w:val="0"/>
      <w:marBottom w:val="0"/>
      <w:divBdr>
        <w:top w:val="none" w:sz="0" w:space="0" w:color="auto"/>
        <w:left w:val="none" w:sz="0" w:space="0" w:color="auto"/>
        <w:bottom w:val="none" w:sz="0" w:space="0" w:color="auto"/>
        <w:right w:val="none" w:sz="0" w:space="0" w:color="auto"/>
      </w:divBdr>
      <w:divsChild>
        <w:div w:id="548996123">
          <w:marLeft w:val="0"/>
          <w:marRight w:val="0"/>
          <w:marTop w:val="0"/>
          <w:marBottom w:val="0"/>
          <w:divBdr>
            <w:top w:val="none" w:sz="0" w:space="0" w:color="auto"/>
            <w:left w:val="none" w:sz="0" w:space="0" w:color="auto"/>
            <w:bottom w:val="none" w:sz="0" w:space="0" w:color="auto"/>
            <w:right w:val="none" w:sz="0" w:space="0" w:color="auto"/>
          </w:divBdr>
          <w:divsChild>
            <w:div w:id="2138256305">
              <w:marLeft w:val="0"/>
              <w:marRight w:val="0"/>
              <w:marTop w:val="0"/>
              <w:marBottom w:val="0"/>
              <w:divBdr>
                <w:top w:val="none" w:sz="0" w:space="0" w:color="auto"/>
                <w:left w:val="none" w:sz="0" w:space="0" w:color="auto"/>
                <w:bottom w:val="none" w:sz="0" w:space="0" w:color="auto"/>
                <w:right w:val="none" w:sz="0" w:space="0" w:color="auto"/>
              </w:divBdr>
              <w:divsChild>
                <w:div w:id="6560459">
                  <w:marLeft w:val="3017"/>
                  <w:marRight w:val="69"/>
                  <w:marTop w:val="0"/>
                  <w:marBottom w:val="0"/>
                  <w:divBdr>
                    <w:top w:val="none" w:sz="0" w:space="0" w:color="auto"/>
                    <w:left w:val="none" w:sz="0" w:space="0" w:color="auto"/>
                    <w:bottom w:val="none" w:sz="0" w:space="0" w:color="auto"/>
                    <w:right w:val="none" w:sz="0" w:space="0" w:color="auto"/>
                  </w:divBdr>
                  <w:divsChild>
                    <w:div w:id="1945502156">
                      <w:marLeft w:val="0"/>
                      <w:marRight w:val="0"/>
                      <w:marTop w:val="0"/>
                      <w:marBottom w:val="0"/>
                      <w:divBdr>
                        <w:top w:val="none" w:sz="0" w:space="0" w:color="auto"/>
                        <w:left w:val="none" w:sz="0" w:space="0" w:color="auto"/>
                        <w:bottom w:val="none" w:sz="0" w:space="0" w:color="auto"/>
                        <w:right w:val="none" w:sz="0" w:space="0" w:color="auto"/>
                      </w:divBdr>
                      <w:divsChild>
                        <w:div w:id="1130171299">
                          <w:marLeft w:val="0"/>
                          <w:marRight w:val="0"/>
                          <w:marTop w:val="0"/>
                          <w:marBottom w:val="0"/>
                          <w:divBdr>
                            <w:top w:val="single" w:sz="2" w:space="7" w:color="004242"/>
                            <w:left w:val="single" w:sz="6" w:space="7" w:color="004242"/>
                            <w:bottom w:val="single" w:sz="2" w:space="7" w:color="004242"/>
                            <w:right w:val="single" w:sz="6" w:space="7" w:color="004242"/>
                          </w:divBdr>
                          <w:divsChild>
                            <w:div w:id="1426535639">
                              <w:marLeft w:val="0"/>
                              <w:marRight w:val="0"/>
                              <w:marTop w:val="0"/>
                              <w:marBottom w:val="0"/>
                              <w:divBdr>
                                <w:top w:val="single" w:sz="2" w:space="7" w:color="004242"/>
                                <w:left w:val="single" w:sz="6" w:space="7" w:color="004242"/>
                                <w:bottom w:val="single" w:sz="2" w:space="7" w:color="004242"/>
                                <w:right w:val="single" w:sz="6" w:space="7" w:color="004242"/>
                              </w:divBdr>
                              <w:divsChild>
                                <w:div w:id="17649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mailto:t092007@dgfip.finances.gouv.fr" TargetMode="External"/><Relationship Id="rId14" Type="http://schemas.openxmlformats.org/officeDocument/2006/relationships/image" Target="media/image6.tm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g\Local%20Settings\Temporary%20Internet%20Files\Content.IE5\EI1OB8N7\MAPA_services_BdC_2011-09-05%5b1%5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6DFE-62EA-4FBD-8C9C-6BE93D6A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MAPA_services_BdC_2011-09-05[1]</Template>
  <TotalTime>15</TotalTime>
  <Pages>1</Pages>
  <Words>2429</Words>
  <Characters>13364</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mapa prestations récurentes bdc</vt:lpstr>
    </vt:vector>
  </TitlesOfParts>
  <Company>Ville de Boulogne Billancourt</Company>
  <LinksUpToDate>false</LinksUpToDate>
  <CharactersWithSpaces>15762</CharactersWithSpaces>
  <SharedDoc>false</SharedDoc>
  <HLinks>
    <vt:vector size="6" baseType="variant">
      <vt:variant>
        <vt:i4>524348</vt:i4>
      </vt:variant>
      <vt:variant>
        <vt:i4>3</vt:i4>
      </vt:variant>
      <vt:variant>
        <vt:i4>0</vt:i4>
      </vt:variant>
      <vt:variant>
        <vt:i4>5</vt:i4>
      </vt:variant>
      <vt:variant>
        <vt:lpwstr>mailto:t092007@dgfip.finances.gouv.fr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prestations récurentes bdc</dc:title>
  <dc:creator>Borg</dc:creator>
  <cp:lastModifiedBy>Chicoisne Marie</cp:lastModifiedBy>
  <cp:revision>8</cp:revision>
  <cp:lastPrinted>2019-04-26T14:41:00Z</cp:lastPrinted>
  <dcterms:created xsi:type="dcterms:W3CDTF">2023-06-19T11:31:00Z</dcterms:created>
  <dcterms:modified xsi:type="dcterms:W3CDTF">2023-07-26T15:10:00Z</dcterms:modified>
</cp:coreProperties>
</file>